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2.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document.xml" ContentType="application/vnd.openxmlformats-officedocument.wordprocessingml.document.main+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numbering.xml" ContentType="application/vnd.openxmlformats-officedocument.wordprocessingml.numbering+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hyperlink r:id="rId24">
        <w:r>
          <w:drawing>
            <wp:inline>
              <wp:extent cx="1325880" cy="341661"/>
              <wp:effectExtent b="0" l="0" r="0" t="0"/>
              <wp:docPr descr="Instats" title="" id="22" name="Picture"/>
              <a:graphic xmlns:a="http://schemas.openxmlformats.org/drawingml/2006/main">
                <a:graphicData uri="http://schemas.openxmlformats.org/drawingml/2006/picture">
                  <pic:pic>
                    <pic:nvPicPr>
                      <pic:cNvPr descr="instats_logo.png" id="23" name="Picture"/>
                      <pic:cNvPicPr>
                        <a:picLocks noChangeArrowheads="1" noChangeAspect="1"/>
                      </pic:cNvPicPr>
                    </pic:nvPicPr>
                    <pic:blipFill>
                      <a:blip r:embed="rId23"/>
                      <a:stretch>
                        <a:fillRect/>
                      </a:stretch>
                    </pic:blipFill>
                    <pic:spPr bwMode="auto">
                      <a:xfrm>
                        <a:off x="0" y="0"/>
                        <a:ext cx="1325880" cy="341661"/>
                      </a:xfrm>
                      <a:prstGeom prst="rect">
                        <a:avLst/>
                      </a:prstGeom>
                      <a:noFill/>
                      <a:ln w="9525">
                        <a:noFill/>
                        <a:headEnd/>
                        <a:tailEnd/>
                      </a:ln>
                    </pic:spPr>
                  </pic:pic>
                </a:graphicData>
              </a:graphic>
            </wp:inline>
          </w:drawing>
        </w:r>
      </w:hyperlink>
    </w:p>
    <w:p>
      <w:pPr>
        <w:pStyle w:val="Heading1"/>
        <w:rPr/>
      </w:pPr>
      <w:bookmarkStart w:id="0" w:name="a5-board-council-reporting-one-pager"/>
      <w:r>
        <w:rPr/>
        <w:t>A5 — Board / Council Reporting One-Pager</w:t>
      </w:r>
    </w:p>
    <w:p>
      <w:pPr>
        <w:pStyle w:val="FirstParagraph"/>
        <w:rPr/>
      </w:pPr>
      <w:r>
        <w:rPr>
          <w:i/>
          <w:iCs/>
        </w:rPr>
        <w:t>One page for reporting AI readiness in research training to a governing body: five dimension levels, not one misleading number.</w:t>
      </w:r>
    </w:p>
    <w:p>
      <w:pPr>
        <w:pStyle w:val="BodyText"/>
        <w:rPr/>
      </w:pPr>
      <w:hyperlink r:id="rId2">
        <w:r>
          <w:rPr>
            <w:rStyle w:val="Hyperlink"/>
          </w:rPr>
          <w:t>Browse the full online instrument catalogue</w:t>
        </w:r>
      </w:hyperlink>
      <w:r>
        <w:rPr/>
        <w:t xml:space="preserve"> to read or download every resource in HTML, Word, PDF, and spreadsheet formats.</w:t>
      </w:r>
    </w:p>
    <w:p>
      <w:pPr>
        <w:pStyle w:val="BodyText"/>
        <w:rPr/>
      </w:pPr>
      <w:r>
        <w:rPr>
          <w:b/>
          <w:bCs/>
        </w:rPr>
        <w:t>About this instrument</w:t>
      </w:r>
    </w:p>
    <w:tbl>
      <w:tblPr>
        <w:tblStyle w:val="Table"/>
        <w:tblW w:w="9072" w:type="dxa"/>
        <w:jc w:val="start"/>
        <w:tblInd w:w="108" w:type="dxa"/>
        <w:tblLayout w:type="fixed"/>
        <w:tblCellMar>
          <w:top w:w="72" w:type="dxa"/>
          <w:start w:w="108" w:type="dxa"/>
          <w:bottom w:w="72" w:type="dxa"/>
          <w:end w:w="108" w:type="dxa"/>
        </w:tblCellMar>
        <w:tblLook w:noHBand="0" w:lastColumn="0" w:firstColumn="0" w:lastRow="0" w:firstRow="0" w:noVBand="0" w:val="0000"/>
      </w:tblPr>
      <w:tblGrid>
        <w:gridCol w:w="2355"/>
        <w:gridCol w:w="6717"/>
      </w:tblGrid>
      <w:tr>
        <w:trPr>
          <w:cantSplit/>
        </w:trPr>
        <w:tc>
          <w:tcPr>
            <w:tcW w:w="2355" w:type="dxa"/>
            <w:tcBorders>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Purpose</w:t>
            </w:r>
          </w:p>
        </w:tc>
        <w:tc>
          <w:tcPr>
            <w:tcW w:w="6717" w:type="dxa"/>
            <w:tcBorders>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Turn the A4 reconciled profile into one reportable page: five dimension levels, each binding axis, the constraint that follows, three asks, and the regulatory exposure.</w:t>
            </w:r>
          </w:p>
        </w:tc>
      </w:tr>
      <w:tr>
        <w:trPr/>
        <w:tc>
          <w:tcPr>
            <w:tcW w:w="235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Who completes it</w:t>
            </w:r>
          </w:p>
        </w:tc>
        <w:tc>
          <w:tcPr>
            <w:tcW w:w="671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The named Dimension 5 owner, countersigned by the DVC-R, PVC-R, or VP Research who presents it.</w:t>
            </w:r>
          </w:p>
        </w:tc>
      </w:tr>
      <w:tr>
        <w:trPr>
          <w:cantSplit/>
        </w:trPr>
        <w:tc>
          <w:tcPr>
            <w:tcW w:w="235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Time required</w:t>
            </w:r>
          </w:p>
        </w:tc>
        <w:tc>
          <w:tcPr>
            <w:tcW w:w="671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30 minutes, once A4 is complete. This page reports the profile, but it does not produce one.</w:t>
            </w:r>
          </w:p>
        </w:tc>
      </w:tr>
      <w:tr>
        <w:trPr>
          <w:cantSplit/>
        </w:trPr>
        <w:tc>
          <w:tcPr>
            <w:tcW w:w="235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Report sections</w:t>
            </w:r>
          </w:p>
        </w:tc>
        <w:tc>
          <w:tcPr>
            <w:tcW w:w="671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§1.3, §2.1–§2.5, §4.1–§4.3, §5.1, and Appendices A and F.</w:t>
            </w:r>
          </w:p>
        </w:tc>
      </w:tr>
      <w:tr>
        <w:trPr>
          <w:cantSplit/>
        </w:trPr>
        <w:tc>
          <w:tcPr>
            <w:tcW w:w="235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Cells touched</w:t>
            </w:r>
          </w:p>
        </w:tc>
        <w:tc>
          <w:tcPr>
            <w:tcW w:w="671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Summarizes all 20 cells. It scores none of them, because documentary scoring begins in A1 and the evidence is reconciled in A4.</w:t>
            </w:r>
          </w:p>
        </w:tc>
      </w:tr>
      <w:tr>
        <w:trPr>
          <w:cantSplit/>
        </w:trPr>
        <w:tc>
          <w:tcPr>
            <w:tcW w:w="235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Cadence</w:t>
            </w:r>
          </w:p>
        </w:tc>
        <w:tc>
          <w:tcPr>
            <w:tcW w:w="671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Every reporting cycle. The </w:t>
            </w:r>
            <w:r>
              <w:rPr>
                <w:i/>
                <w:iCs/>
                <w:kern w:val="0"/>
                <w:szCs w:val="22"/>
                <w:lang w:val="en-US" w:eastAsia="en-US" w:bidi="ar-SA"/>
              </w:rPr>
              <w:t>Since last report</w:t>
            </w:r>
            <w:r>
              <w:rPr>
                <w:kern w:val="0"/>
                <w:szCs w:val="22"/>
                <w:lang w:val="en-US" w:eastAsia="en-US" w:bidi="ar-SA"/>
              </w:rPr>
              <w:t xml:space="preserve"> column makes it repeatable across cycles.</w:t>
            </w:r>
          </w:p>
        </w:tc>
      </w:tr>
    </w:tbl>
    <w:p>
      <w:pPr>
        <w:pStyle w:val="TableCaption"/>
        <w:spacing w:before="240" w:after="280"/>
        <w:rPr/>
      </w:pPr>
      <w:r>
        <w:rPr/>
        <w:t>Table 1. Summary of the purpose and structure of the board reporting one-pager instrument.</w:t>
      </w:r>
    </w:p>
    <w:p>
      <w:pPr>
        <w:pStyle w:val="Heading2"/>
        <w:rPr/>
      </w:pPr>
      <w:bookmarkStart w:id="1" w:name="how-to-use-this-page"/>
      <w:r>
        <w:rPr/>
        <w:t>How to use this page</w:t>
      </w:r>
    </w:p>
    <w:p>
      <w:pPr>
        <w:pStyle w:val="FirstParagraph"/>
        <w:rPr/>
      </w:pPr>
      <w:r>
        <w:rPr/>
        <w:t>Only the block between the horizontal rules is presented to the governing body. Everything here is preparation.</w:t>
      </w:r>
    </w:p>
    <w:p>
      <w:pPr>
        <w:pStyle w:val="Compact"/>
        <w:numPr>
          <w:ilvl w:val="0"/>
          <w:numId w:val="7"/>
        </w:numPr>
        <w:rPr/>
      </w:pPr>
      <w:r>
        <w:rPr>
          <w:b/>
          <w:bCs/>
        </w:rPr>
        <w:t>Filling the profile table.</w:t>
      </w:r>
      <w:r>
        <w:rPr/>
        <w:t xml:space="preserve"> For </w:t>
      </w:r>
      <w:r>
        <w:rPr>
          <w:i/>
          <w:iCs/>
        </w:rPr>
        <w:t>Level</w:t>
      </w:r>
      <w:r>
        <w:rPr/>
        <w:t xml:space="preserve">, record Absent, Nascent, Established, Leading, or Unresolved/not demonstrated. Use the unresolved status only when an unanswered nascent indicator prevents an axis cell from receiving a maturity level. For </w:t>
      </w:r>
      <w:r>
        <w:rPr>
          <w:i/>
          <w:iCs/>
        </w:rPr>
        <w:t>Binding axis</w:t>
      </w:r>
      <w:r>
        <w:rPr/>
        <w:t xml:space="preserve">, record policy, people, systems, or process. If the level is unresolved, list the unresolved axes instead and leave the binding dimension unassigned. For </w:t>
      </w:r>
      <w:r>
        <w:rPr>
          <w:i/>
          <w:iCs/>
        </w:rPr>
        <w:t>Since last report</w:t>
      </w:r>
      <w:r>
        <w:rPr/>
        <w:t xml:space="preserve">, record “Unchanged”, or a change such as “Nascent → Established”. For </w:t>
      </w:r>
      <w:r>
        <w:rPr>
          <w:i/>
          <w:iCs/>
        </w:rPr>
        <w:t>What holds it there</w:t>
      </w:r>
      <w:r>
        <w:rPr/>
        <w:t>, write one clear clause naming the missing artifact or capability.</w:t>
      </w:r>
    </w:p>
    <w:p>
      <w:pPr>
        <w:pStyle w:val="Compact"/>
        <w:numPr>
          <w:ilvl w:val="0"/>
          <w:numId w:val="7"/>
        </w:numPr>
        <w:rPr/>
      </w:pPr>
      <w:r>
        <w:rPr>
          <w:b/>
          <w:bCs/>
        </w:rPr>
        <w:t>Levels and asks come from A4.</w:t>
      </w:r>
      <w:r>
        <w:rPr/>
        <w:t xml:space="preserve"> Use the reconciled profile rather than copying the initial A1 documentary level. Each ask should be a priority work package toward a target rung in the binding cell. Completing that work package triggers a rescore of all applicable A1 indicators at the target rung and below. It does not move the cell or dimension automatically. Replace the three default asks with the ones your institutional profile requires.</w:t>
      </w:r>
    </w:p>
    <w:p>
      <w:pPr>
        <w:pStyle w:val="Compact"/>
        <w:numPr>
          <w:ilvl w:val="0"/>
          <w:numId w:val="7"/>
        </w:numPr>
        <w:rPr/>
      </w:pPr>
      <w:r>
        <w:rPr>
          <w:b/>
          <w:bCs/>
        </w:rPr>
        <w:t>Write block 2 fresh each cycle.</w:t>
      </w:r>
      <w:r>
        <w:rPr/>
        <w:t xml:space="preserve"> You should follow this general structure: “Dimension 3 sits at </w:t>
      </w:r>
      <w:r>
        <w:rPr>
          <w:i/>
          <w:iCs/>
        </w:rPr>
        <w:t>nascent</w:t>
      </w:r>
      <w:r>
        <w:rPr/>
        <w:t xml:space="preserve">, with the binding axis being </w:t>
      </w:r>
      <w:r>
        <w:rPr>
          <w:i/>
          <w:iCs/>
        </w:rPr>
        <w:t>systems</w:t>
      </w:r>
      <w:r>
        <w:rPr/>
        <w:t xml:space="preserve">. We ask researchers to verify AI-generated citations against the primary source, but with no procurement gate, the tools they use do not emit citations that resolve. Until that gate exists, our Dimension 1 and 2 rules cannot operate above </w:t>
      </w:r>
      <w:r>
        <w:rPr>
          <w:i/>
          <w:iCs/>
        </w:rPr>
        <w:t>nascent</w:t>
      </w:r>
      <w:r>
        <w:rPr/>
        <w:t xml:space="preserve"> in practice, whatever the written policy says.”</w:t>
      </w:r>
    </w:p>
    <w:p>
      <w:pPr>
        <w:pStyle w:val="Compact"/>
        <w:numPr>
          <w:ilvl w:val="0"/>
          <w:numId w:val="7"/>
        </w:numPr>
        <w:rPr/>
      </w:pPr>
      <w:r>
        <w:rPr>
          <w:b/>
          <w:bCs/>
        </w:rPr>
        <w:t>Levels advance progressively, and a cell moves only when supported by a dated artifact.</w:t>
      </w:r>
      <w:r>
        <w:rPr/>
        <w:t xml:space="preserve"> Advancing along a dimension requires demonstrable achievement across all cells at that level, so an institution cannot reach </w:t>
      </w:r>
      <w:r>
        <w:rPr>
          <w:i/>
          <w:iCs/>
        </w:rPr>
        <w:t>leading</w:t>
      </w:r>
      <w:r>
        <w:rPr/>
        <w:t xml:space="preserve"> while failing to meet the requirements for </w:t>
      </w:r>
      <w:r>
        <w:rPr>
          <w:i/>
          <w:iCs/>
        </w:rPr>
        <w:t>established</w:t>
      </w:r>
      <w:r>
        <w:rPr/>
        <w:t xml:space="preserve"> (Appendix A). If an unresolved nascent rung prevents a dimension from being calculated, report it as </w:t>
      </w:r>
      <w:r>
        <w:rPr>
          <w:b/>
          <w:bCs/>
        </w:rPr>
        <w:t>Unresolved/not demonstrated</w:t>
      </w:r>
      <w:r>
        <w:rPr/>
        <w:t xml:space="preserve"> even when overall documentary coverage is 80 percent or higher. If A1 documentary coverage is below 80 percent, the coverage verdict must be </w:t>
      </w:r>
      <w:r>
        <w:rPr>
          <w:b/>
          <w:bCs/>
        </w:rPr>
        <w:t>Provisional</w:t>
      </w:r>
      <w:r>
        <w:rPr/>
        <w:t xml:space="preserve"> and all unanswered cells must be named explicitly. Coverage and maturity determination are separate.</w:t>
      </w:r>
    </w:p>
    <w:p>
      <w:pPr>
        <w:pStyle w:val="Compact"/>
        <w:numPr>
          <w:ilvl w:val="0"/>
          <w:numId w:val="7"/>
        </w:numPr>
        <w:rPr/>
      </w:pPr>
      <w:r>
        <w:rPr>
          <w:b/>
          <w:bCs/>
        </w:rPr>
        <w:t>To chart the profile,</w:t>
      </w:r>
      <w:r>
        <w:rPr/>
        <w:t xml:space="preserve"> plot determined levels only (absent 0, nascent 1, established 2, leading 3), label each with its binding axis, and mark any Unresolved/not demonstrated dimension separately rather than assigning it a numeric value. Do not plot a total. Never publish a composite score, because the diagnostic value lies in the pattern across dimensions rather than a single uninformative number (§4.3).</w:t>
      </w:r>
    </w:p>
    <w:p>
      <w:pPr>
        <w:pStyle w:val="Compact"/>
        <w:numPr>
          <w:ilvl w:val="0"/>
          <w:numId w:val="7"/>
        </w:numPr>
        <w:rPr/>
      </w:pPr>
      <w:r>
        <w:rPr>
          <w:b/>
          <w:bCs/>
        </w:rPr>
        <w:t>Do not attempt to re-score at the board table.</w:t>
      </w:r>
      <w:r>
        <w:rPr/>
        <w:t xml:space="preserve"> If the governing body finds itself debating an axis rating during the meeting, that is usually a sign that the underlying A4 evidence and resolution note need further work.</w:t>
      </w:r>
    </w:p>
    <w:p>
      <w:pPr>
        <w:pStyle w:val="Compact"/>
        <w:numPr>
          <w:ilvl w:val="0"/>
          <w:numId w:val="7"/>
        </w:numPr>
        <w:rPr/>
      </w:pPr>
      <w:r>
        <w:rPr>
          <w:b/>
          <w:bCs/>
        </w:rPr>
        <w:t>Class A to D policy scope (§1.3) is a separate descriptor</w:t>
      </w:r>
      <w:r>
        <w:rPr/>
        <w:t xml:space="preserve"> that is never derived from these readiness levels. If the board or council asks “what class are we?”, answer directly from the policy-scope taxonomy in </w:t>
      </w:r>
      <w:hyperlink r:id="rId3">
        <w:r>
          <w:rPr>
            <w:rStyle w:val="Hyperlink"/>
            <w:i/>
            <w:iCs/>
          </w:rPr>
          <w:t>Responsible AI in Academic Research: A Competency Framework for Research Training</w:t>
        </w:r>
      </w:hyperlink>
      <w:r>
        <w:rPr/>
        <w:t>.</w:t>
      </w:r>
    </w:p>
    <w:p>
      <w:pPr>
        <w:pStyle w:val="Compact"/>
        <w:numPr>
          <w:ilvl w:val="0"/>
          <w:numId w:val="7"/>
        </w:numPr>
        <w:rPr/>
      </w:pPr>
      <w:r>
        <w:rPr>
          <w:b/>
          <w:bCs/>
        </w:rPr>
        <w:t>Other jurisdictions</w:t>
      </w:r>
      <w:r>
        <w:rPr/>
        <w:t xml:space="preserve"> should substitute their own equivalent regulatory pressure points in block 4. The underlying axes and the overall reporting format remain the same regardless of location (Appendix F). An institution with both an Australian footprint and European Union market activity should report both lines.</w:t>
      </w:r>
    </w:p>
    <w:p>
      <w:pPr>
        <w:pStyle w:val="Compact"/>
        <w:numPr>
          <w:ilvl w:val="0"/>
          <w:numId w:val="7"/>
        </w:numPr>
        <w:rPr/>
      </w:pPr>
      <w:r>
        <w:rPr>
          <w:b/>
          <w:bCs/>
        </w:rPr>
        <w:t>For the first report:</w:t>
      </w:r>
      <w:r>
        <w:rPr/>
        <w:t xml:space="preserve"> write “First report, baseline established [DATE]” and leave the </w:t>
      </w:r>
      <w:r>
        <w:rPr>
          <w:i/>
          <w:iCs/>
        </w:rPr>
        <w:t>Since last report</w:t>
      </w:r>
      <w:r>
        <w:rPr/>
        <w:t xml:space="preserve"> column empty.</w:t>
      </w:r>
    </w:p>
    <w:p>
      <w:pPr>
        <w:pStyle w:val="Compact"/>
        <w:numPr>
          <w:ilvl w:val="0"/>
          <w:numId w:val="7"/>
        </w:numPr>
        <w:rPr/>
      </w:pPr>
      <w:r>
        <w:rPr>
          <w:b/>
          <w:bCs/>
        </w:rPr>
        <w:t xml:space="preserve">Reaching </w:t>
      </w:r>
      <w:r>
        <w:rPr>
          <w:b/>
          <w:bCs/>
          <w:i/>
          <w:iCs/>
        </w:rPr>
        <w:t>leading</w:t>
      </w:r>
      <w:r>
        <w:rPr>
          <w:b/>
          <w:bCs/>
        </w:rPr>
        <w:t xml:space="preserve"> on Dimension 5</w:t>
      </w:r>
      <w:r>
        <w:rPr/>
        <w:t xml:space="preserve"> requires published scoring with an explicit method </w:t>
      </w:r>
      <w:r>
        <w:rPr>
          <w:b/>
          <w:bCs/>
        </w:rPr>
        <w:t>and</w:t>
      </w:r>
      <w:r>
        <w:rPr/>
        <w:t xml:space="preserve"> external benchmarking or peer audit conducted at a stated cadence (Appendix A, row 5). Publishing internal scores alone is not enough. Section 4.2 of the report describes this as a forward-looking standard that early adopters can choose to work toward. This is worth explaining to the board or council, but it is not a reason to inflate the institution’s current level.</w:t>
      </w:r>
    </w:p>
    <w:p>
      <w:pPr>
        <w:pStyle w:val="Normal"/>
        <w:rPr/>
      </w:pPr>
      <w:r>
        <w:rPr/>
        <mc:AlternateContent>
          <mc:Choice Requires="wps">
            <w:drawing>
              <wp:inline distT="0" distB="0" distL="0" distR="0">
                <wp:extent cx="5760720" cy="19050"/>
                <wp:effectExtent l="0" t="0" r="0" b="0"/>
                <wp:docPr id="1" name="Shape1"/>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1"/>
    </w:p>
    <w:p>
      <w:pPr>
        <w:pStyle w:val="Heading2"/>
        <w:rPr/>
      </w:pPr>
      <w:bookmarkStart w:id="2" w:name="X1aca3d7d4440952c5cdd85814e2e91361640371"/>
      <w:r>
        <w:rPr/>
        <w:t>AI readiness in research training: [INSTITUTION NAME], report to [COMMITTEE], [DATE]</w:t>
      </w:r>
    </w:p>
    <w:p>
      <w:pPr>
        <w:pStyle w:val="Heading3"/>
        <w:rPr/>
      </w:pPr>
      <w:bookmarkStart w:id="3" w:name="readiness-profile"/>
      <w:r>
        <w:rPr/>
        <w:t>1. Readiness profile</w:t>
      </w:r>
    </w:p>
    <w:tbl>
      <w:tblPr>
        <w:tblStyle w:val="Table"/>
        <w:tblW w:w="9072" w:type="dxa"/>
        <w:jc w:val="start"/>
        <w:tblInd w:w="108" w:type="dxa"/>
        <w:tblLayout w:type="fixed"/>
        <w:tblCellMar>
          <w:top w:w="72" w:type="dxa"/>
          <w:start w:w="108" w:type="dxa"/>
          <w:bottom w:w="72" w:type="dxa"/>
          <w:end w:w="108" w:type="dxa"/>
        </w:tblCellMar>
        <w:tblLook w:noHBand="0" w:lastColumn="0" w:firstColumn="0" w:lastRow="0" w:firstRow="1" w:noVBand="0" w:val="0020"/>
      </w:tblPr>
      <w:tblGrid>
        <w:gridCol w:w="3222"/>
        <w:gridCol w:w="1228"/>
        <w:gridCol w:w="1393"/>
        <w:gridCol w:w="1412"/>
        <w:gridCol w:w="1817"/>
      </w:tblGrid>
      <w:tr>
        <w:trPr>
          <w:tblHeader w:val="true"/>
          <w:cantSplit/>
        </w:trPr>
        <w:tc>
          <w:tcPr>
            <w:tcW w:w="3222"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Dimension</w:t>
            </w:r>
          </w:p>
        </w:tc>
        <w:tc>
          <w:tcPr>
            <w:tcW w:w="1228"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Level</w:t>
            </w:r>
          </w:p>
        </w:tc>
        <w:tc>
          <w:tcPr>
            <w:tcW w:w="1393"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Binding axis</w:t>
            </w:r>
          </w:p>
        </w:tc>
        <w:tc>
          <w:tcPr>
            <w:tcW w:w="1412"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Since last report</w:t>
            </w:r>
          </w:p>
        </w:tc>
        <w:tc>
          <w:tcPr>
            <w:tcW w:w="1817"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What holds it there</w:t>
            </w:r>
          </w:p>
        </w:tc>
      </w:tr>
      <w:tr>
        <w:trPr/>
        <w:tc>
          <w:tcPr>
            <w:tcW w:w="322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D1: Human-in-the-loop discipline</w:t>
            </w:r>
          </w:p>
        </w:tc>
        <w:tc>
          <w:tcPr>
            <w:tcW w:w="122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w:t>
            </w:r>
          </w:p>
        </w:tc>
        <w:tc>
          <w:tcPr>
            <w:tcW w:w="139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w:t>
            </w:r>
          </w:p>
        </w:tc>
        <w:tc>
          <w:tcPr>
            <w:tcW w:w="141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w:t>
            </w:r>
          </w:p>
        </w:tc>
        <w:tc>
          <w:tcPr>
            <w:tcW w:w="181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w:t>
            </w:r>
          </w:p>
        </w:tc>
      </w:tr>
      <w:tr>
        <w:trPr>
          <w:cantSplit/>
        </w:trPr>
        <w:tc>
          <w:tcPr>
            <w:tcW w:w="322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D2: Responsible use in practice</w:t>
            </w:r>
          </w:p>
        </w:tc>
        <w:tc>
          <w:tcPr>
            <w:tcW w:w="122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w:t>
            </w:r>
          </w:p>
        </w:tc>
        <w:tc>
          <w:tcPr>
            <w:tcW w:w="139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w:t>
            </w:r>
          </w:p>
        </w:tc>
        <w:tc>
          <w:tcPr>
            <w:tcW w:w="141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w:t>
            </w:r>
          </w:p>
        </w:tc>
        <w:tc>
          <w:tcPr>
            <w:tcW w:w="181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w:t>
            </w:r>
          </w:p>
        </w:tc>
      </w:tr>
      <w:tr>
        <w:trPr>
          <w:cantSplit/>
        </w:trPr>
        <w:tc>
          <w:tcPr>
            <w:tcW w:w="322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D3: Tooling that promotes responsible use</w:t>
            </w:r>
          </w:p>
        </w:tc>
        <w:tc>
          <w:tcPr>
            <w:tcW w:w="122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w:t>
            </w:r>
          </w:p>
        </w:tc>
        <w:tc>
          <w:tcPr>
            <w:tcW w:w="139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w:t>
            </w:r>
          </w:p>
        </w:tc>
        <w:tc>
          <w:tcPr>
            <w:tcW w:w="141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w:t>
            </w:r>
          </w:p>
        </w:tc>
        <w:tc>
          <w:tcPr>
            <w:tcW w:w="181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w:t>
            </w:r>
          </w:p>
        </w:tc>
      </w:tr>
      <w:tr>
        <w:trPr>
          <w:cantSplit/>
        </w:trPr>
        <w:tc>
          <w:tcPr>
            <w:tcW w:w="322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D4: AI-literate humans</w:t>
            </w:r>
          </w:p>
        </w:tc>
        <w:tc>
          <w:tcPr>
            <w:tcW w:w="122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w:t>
            </w:r>
          </w:p>
        </w:tc>
        <w:tc>
          <w:tcPr>
            <w:tcW w:w="139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w:t>
            </w:r>
          </w:p>
        </w:tc>
        <w:tc>
          <w:tcPr>
            <w:tcW w:w="141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w:t>
            </w:r>
          </w:p>
        </w:tc>
        <w:tc>
          <w:tcPr>
            <w:tcW w:w="181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w:t>
            </w:r>
          </w:p>
        </w:tc>
      </w:tr>
      <w:tr>
        <w:trPr>
          <w:cantSplit/>
        </w:trPr>
        <w:tc>
          <w:tcPr>
            <w:tcW w:w="3222"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D5: Institutional benchmarking grid</w:t>
            </w:r>
          </w:p>
        </w:tc>
        <w:tc>
          <w:tcPr>
            <w:tcW w:w="1228"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w:t>
            </w:r>
          </w:p>
        </w:tc>
        <w:tc>
          <w:tcPr>
            <w:tcW w:w="1393"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w:t>
            </w:r>
          </w:p>
        </w:tc>
        <w:tc>
          <w:tcPr>
            <w:tcW w:w="1412"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w:t>
            </w:r>
          </w:p>
        </w:tc>
        <w:tc>
          <w:tcPr>
            <w:tcW w:w="1817"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w:t>
            </w:r>
          </w:p>
        </w:tc>
      </w:tr>
    </w:tbl>
    <w:p>
      <w:pPr>
        <w:pStyle w:val="TableCaption"/>
        <w:spacing w:before="240" w:after="280"/>
        <w:rPr/>
      </w:pPr>
      <w:r>
        <w:rPr/>
        <w:t>Table 2. Readiness levels, binding axes, recent progress, and key constraints across institutional dimensions.</w:t>
      </w:r>
    </w:p>
    <w:p>
      <w:pPr>
        <w:pStyle w:val="BodyText"/>
        <w:rPr/>
      </w:pPr>
      <w:r>
        <w:rPr/>
        <w:t>Cells improved since [DATE OF LAST REPORT]: [ ] of 20 · unchanged [ ] · regressed [ ] · coverage [ ]%.</w:t>
      </w:r>
    </w:p>
    <w:p>
      <w:pPr>
        <w:pStyle w:val="BodyText"/>
        <w:rPr/>
      </w:pPr>
      <w:r>
        <w:rPr>
          <w:b/>
          <w:bCs/>
        </w:rPr>
        <w:t>Evidence base:</w:t>
      </w:r>
      <w:r>
        <w:rPr/>
        <w:t xml:space="preserve"> A1 documentary coverage [ ]% · A2 response [ ]% (N = [ ]) · A3 response [ ]% (N = [ ]) · D5 assurance [assured / unassured].</w:t>
      </w:r>
    </w:p>
    <w:p>
      <w:pPr>
        <w:pStyle w:val="BodyText"/>
        <w:rPr/>
      </w:pPr>
      <w:r>
        <w:rPr>
          <w:b/>
          <w:bCs/>
        </w:rPr>
        <w:t>Reading the table.</w:t>
      </w:r>
      <w:r>
        <w:rPr/>
        <w:t xml:space="preserve"> Each dimension takes the </w:t>
      </w:r>
      <w:r>
        <w:rPr>
          <w:b/>
          <w:bCs/>
        </w:rPr>
        <w:t>lowest</w:t>
      </w:r>
      <w:r>
        <w:rPr/>
        <w:t xml:space="preserve"> of its four axes (policy, people, systems, process) because reaching </w:t>
      </w:r>
      <w:r>
        <w:rPr>
          <w:i/>
          <w:iCs/>
        </w:rPr>
        <w:t>established</w:t>
      </w:r>
      <w:r>
        <w:rPr/>
        <w:t xml:space="preserve"> requires meeting standards across all four axes at a regular, reviewable cadence (§4.1). That lowest axis is the binding one that holds the dimension back. We do not report an overall total score.</w:t>
      </w:r>
      <w:bookmarkEnd w:id="3"/>
    </w:p>
    <w:p>
      <w:pPr>
        <w:pStyle w:val="Heading3"/>
        <w:rPr/>
      </w:pPr>
      <w:bookmarkStart w:id="4" w:name="binding-dimension-and-what-it-constrains"/>
      <w:r>
        <w:rPr/>
        <w:t>2. Binding dimension and what it constrains</w:t>
      </w:r>
    </w:p>
    <w:p>
      <w:pPr>
        <w:pStyle w:val="FirstParagraph"/>
        <w:rPr/>
      </w:pPr>
      <w:r>
        <w:rPr>
          <w:b/>
          <w:bCs/>
        </w:rPr>
        <w:t>Binding dimension: [D_n: name]. Binding axis: [axis].</w:t>
      </w:r>
    </w:p>
    <w:p>
      <w:pPr>
        <w:pStyle w:val="BodyText"/>
        <w:rPr/>
      </w:pPr>
      <w:r>
        <w:rPr/>
        <w:t>[Two sentences explaining what capability is absent, and which other dimension it disables in practice.]</w:t>
      </w:r>
    </w:p>
    <w:p>
      <w:pPr>
        <w:pStyle w:val="BodyText"/>
        <w:rPr/>
      </w:pPr>
      <w:r>
        <w:rPr/>
        <w:t xml:space="preserve">An institution’s weakest dimension constrains the entire system. For example, being at </w:t>
      </w:r>
      <w:r>
        <w:rPr>
          <w:i/>
          <w:iCs/>
        </w:rPr>
        <w:t>leading</w:t>
      </w:r>
      <w:r>
        <w:rPr/>
        <w:t xml:space="preserve"> on Dimension 1 while Dimension 3 remains </w:t>
      </w:r>
      <w:r>
        <w:rPr>
          <w:i/>
          <w:iCs/>
        </w:rPr>
        <w:t>absent</w:t>
      </w:r>
      <w:r>
        <w:rPr/>
        <w:t xml:space="preserve"> cannot deliver human-in-the-loop discipline at scale, simply because the available tooling does not support it (§4.3).</w:t>
      </w:r>
      <w:bookmarkEnd w:id="4"/>
    </w:p>
    <w:p>
      <w:pPr>
        <w:pStyle w:val="Heading3"/>
        <w:rPr/>
      </w:pPr>
      <w:bookmarkStart w:id="5" w:name="three-asks"/>
      <w:r>
        <w:rPr/>
        <w:t>3. Three asks</w:t>
      </w:r>
    </w:p>
    <w:tbl>
      <w:tblPr>
        <w:tblStyle w:val="Table"/>
        <w:tblW w:w="9072" w:type="dxa"/>
        <w:jc w:val="start"/>
        <w:tblInd w:w="108" w:type="dxa"/>
        <w:tblLayout w:type="fixed"/>
        <w:tblCellMar>
          <w:top w:w="72" w:type="dxa"/>
          <w:start w:w="108" w:type="dxa"/>
          <w:bottom w:w="72" w:type="dxa"/>
          <w:end w:w="108" w:type="dxa"/>
        </w:tblCellMar>
        <w:tblLook w:noHBand="0" w:lastColumn="0" w:firstColumn="0" w:lastRow="0" w:firstRow="1" w:noVBand="0" w:val="0020"/>
      </w:tblPr>
      <w:tblGrid>
        <w:gridCol w:w="913"/>
        <w:gridCol w:w="4571"/>
        <w:gridCol w:w="1181"/>
        <w:gridCol w:w="1127"/>
        <w:gridCol w:w="1280"/>
      </w:tblGrid>
      <w:tr>
        <w:trPr>
          <w:tblHeader w:val="true"/>
          <w:cantSplit/>
        </w:trPr>
        <w:tc>
          <w:tcPr>
            <w:tcW w:w="913"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w:t>
            </w:r>
          </w:p>
        </w:tc>
        <w:tc>
          <w:tcPr>
            <w:tcW w:w="4571"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Ask</w:t>
            </w:r>
          </w:p>
        </w:tc>
        <w:tc>
          <w:tcPr>
            <w:tcW w:w="1181"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Type</w:t>
            </w:r>
          </w:p>
        </w:tc>
        <w:tc>
          <w:tcPr>
            <w:tcW w:w="1127"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Owner</w:t>
            </w:r>
          </w:p>
        </w:tc>
        <w:tc>
          <w:tcPr>
            <w:tcW w:w="1280"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Decision by</w:t>
            </w:r>
          </w:p>
        </w:tc>
      </w:tr>
      <w:tr>
        <w:trPr/>
        <w:tc>
          <w:tcPr>
            <w:tcW w:w="91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1</w:t>
            </w:r>
          </w:p>
        </w:tc>
        <w:tc>
          <w:tcPr>
            <w:tcW w:w="457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Name an owner for the institutional benchmarking-and-improvement cycle, mandated to score [INSTITUTION NAME] against Dimensions 1–4 at a published cadence.</w:t>
            </w:r>
          </w:p>
        </w:tc>
        <w:tc>
          <w:tcPr>
            <w:tcW w:w="118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Mandate</w:t>
            </w:r>
          </w:p>
        </w:tc>
        <w:tc>
          <w:tcPr>
            <w:tcW w:w="112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[NAME]</w:t>
            </w:r>
          </w:p>
        </w:tc>
        <w:tc>
          <w:tcPr>
            <w:tcW w:w="128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[DATE]</w:t>
            </w:r>
          </w:p>
        </w:tc>
      </w:tr>
      <w:tr>
        <w:trPr>
          <w:cantSplit/>
        </w:trPr>
        <w:tc>
          <w:tcPr>
            <w:tcW w:w="91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w:t>
            </w:r>
          </w:p>
        </w:tc>
        <w:tc>
          <w:tcPr>
            <w:tcW w:w="457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Approve an AI procurement standard covering the six observable properties (verifiable citation, data residency, uncertainty reporting, reproducibility, auditability, and open-source-and-local options), along with an evaluation gate that applies it before deployment.</w:t>
            </w:r>
          </w:p>
        </w:tc>
        <w:tc>
          <w:tcPr>
            <w:tcW w:w="118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Decision</w:t>
            </w:r>
          </w:p>
        </w:tc>
        <w:tc>
          <w:tcPr>
            <w:tcW w:w="112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[NAME]</w:t>
            </w:r>
          </w:p>
        </w:tc>
        <w:tc>
          <w:tcPr>
            <w:tcW w:w="128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[DATE]</w:t>
            </w:r>
          </w:p>
        </w:tc>
      </w:tr>
      <w:tr>
        <w:trPr>
          <w:cantSplit/>
        </w:trPr>
        <w:tc>
          <w:tcPr>
            <w:tcW w:w="913"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3</w:t>
            </w:r>
          </w:p>
        </w:tc>
        <w:tc>
          <w:tcPr>
            <w:tcW w:w="4571"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Fund AI literacy as a recurring budget line, including research methods curriculum content, advisor and supervisor development, and examiner training (examiners refers to dissertation committee members in US usage).</w:t>
            </w:r>
          </w:p>
        </w:tc>
        <w:tc>
          <w:tcPr>
            <w:tcW w:w="1181"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Resource</w:t>
            </w:r>
          </w:p>
        </w:tc>
        <w:tc>
          <w:tcPr>
            <w:tcW w:w="1127"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[NAME]</w:t>
            </w:r>
          </w:p>
        </w:tc>
        <w:tc>
          <w:tcPr>
            <w:tcW w:w="1280"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[DATE]</w:t>
            </w:r>
          </w:p>
        </w:tc>
      </w:tr>
    </w:tbl>
    <w:p>
      <w:pPr>
        <w:pStyle w:val="TableCaption"/>
        <w:spacing w:before="240" w:after="280"/>
        <w:rPr/>
      </w:pPr>
      <w:r>
        <w:rPr/>
        <w:t>Table 3. Proposed institutional requests with type classification, assigned owner, and target decision date.</w:t>
      </w:r>
    </w:p>
    <w:p>
      <w:pPr>
        <w:pStyle w:val="BodyText"/>
        <w:rPr/>
      </w:pPr>
      <w:r>
        <w:rPr>
          <w:b/>
          <w:bCs/>
        </w:rPr>
        <w:t>If [COMMITTEE] does not grant them:</w:t>
      </w:r>
    </w:p>
    <w:p>
      <w:pPr>
        <w:pStyle w:val="Compact"/>
        <w:numPr>
          <w:ilvl w:val="0"/>
          <w:numId w:val="7"/>
        </w:numPr>
        <w:rPr/>
      </w:pPr>
      <w:r>
        <w:rPr>
          <w:b/>
          <w:bCs/>
        </w:rPr>
        <w:t>If there is no mandate:</w:t>
      </w:r>
      <w:r>
        <w:rPr/>
        <w:t xml:space="preserve"> Dimension 5 stays at </w:t>
      </w:r>
      <w:r>
        <w:rPr>
          <w:i/>
          <w:iCs/>
        </w:rPr>
        <w:t>absent</w:t>
      </w:r>
      <w:r>
        <w:rPr/>
        <w:t xml:space="preserve">. While Dimension 5 remains below </w:t>
      </w:r>
      <w:r>
        <w:rPr>
          <w:i/>
          <w:iCs/>
        </w:rPr>
        <w:t>established</w:t>
      </w:r>
      <w:r>
        <w:rPr/>
        <w:t xml:space="preserve">, any </w:t>
      </w:r>
      <w:r>
        <w:rPr>
          <w:i/>
          <w:iCs/>
        </w:rPr>
        <w:t>established</w:t>
      </w:r>
      <w:r>
        <w:rPr/>
        <w:t xml:space="preserve"> or </w:t>
      </w:r>
      <w:r>
        <w:rPr>
          <w:i/>
          <w:iCs/>
        </w:rPr>
        <w:t>leading</w:t>
      </w:r>
      <w:r>
        <w:rPr/>
        <w:t xml:space="preserve"> claim in Dimensions 1 to 4 is unassured. Lower documentary levels remain valid descriptions of what the evidence supports (§4.1).</w:t>
      </w:r>
    </w:p>
    <w:p>
      <w:pPr>
        <w:pStyle w:val="Compact"/>
        <w:numPr>
          <w:ilvl w:val="0"/>
          <w:numId w:val="7"/>
        </w:numPr>
        <w:rPr/>
      </w:pPr>
      <w:r>
        <w:rPr>
          <w:b/>
          <w:bCs/>
        </w:rPr>
        <w:t>If there is no procurement standard:</w:t>
      </w:r>
      <w:r>
        <w:rPr/>
        <w:t xml:space="preserve"> Tool choices remain private to each laboratory. We cannot provide evidence regarding where unpublished research data is processed, and our Article 27 assessment lacks any documented artifact base.</w:t>
      </w:r>
    </w:p>
    <w:p>
      <w:pPr>
        <w:pStyle w:val="Compact"/>
        <w:numPr>
          <w:ilvl w:val="0"/>
          <w:numId w:val="7"/>
        </w:numPr>
        <w:rPr/>
      </w:pPr>
      <w:r>
        <w:rPr>
          <w:b/>
          <w:bCs/>
        </w:rPr>
        <w:t>If there is no funding:</w:t>
      </w:r>
      <w:r>
        <w:rPr/>
        <w:t xml:space="preserve"> AI literacy training remains voluntary and uneven across departments. As a result, advisors, supervisors, and dissertation committee members will not be equipped to check what our institutional policy requires when certifying a degree.</w:t>
      </w:r>
      <w:bookmarkEnd w:id="5"/>
    </w:p>
    <w:p>
      <w:pPr>
        <w:pStyle w:val="Heading3"/>
        <w:rPr/>
      </w:pPr>
      <w:bookmarkStart w:id="6" w:name="regulatory-exposure"/>
      <w:r>
        <w:rPr/>
        <w:t>4. Regulatory exposure</w:t>
      </w:r>
    </w:p>
    <w:tbl>
      <w:tblPr>
        <w:tblStyle w:val="Table"/>
        <w:tblW w:w="9072" w:type="dxa"/>
        <w:jc w:val="start"/>
        <w:tblInd w:w="108" w:type="dxa"/>
        <w:tblLayout w:type="fixed"/>
        <w:tblCellMar>
          <w:top w:w="72" w:type="dxa"/>
          <w:start w:w="108" w:type="dxa"/>
          <w:bottom w:w="72" w:type="dxa"/>
          <w:end w:w="108" w:type="dxa"/>
        </w:tblCellMar>
        <w:tblLook w:noHBand="0" w:lastColumn="0" w:firstColumn="0" w:lastRow="0" w:firstRow="1" w:noVBand="0" w:val="0020"/>
      </w:tblPr>
      <w:tblGrid>
        <w:gridCol w:w="1153"/>
        <w:gridCol w:w="3695"/>
        <w:gridCol w:w="1293"/>
        <w:gridCol w:w="1956"/>
        <w:gridCol w:w="975"/>
      </w:tblGrid>
      <w:tr>
        <w:trPr>
          <w:tblHeader w:val="true"/>
          <w:cantSplit/>
        </w:trPr>
        <w:tc>
          <w:tcPr>
            <w:tcW w:w="1153"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Jurisdiction</w:t>
            </w:r>
          </w:p>
        </w:tc>
        <w:tc>
          <w:tcPr>
            <w:tcW w:w="3695"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Obligation</w:t>
            </w:r>
          </w:p>
        </w:tc>
        <w:tc>
          <w:tcPr>
            <w:tcW w:w="1293"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Applies from</w:t>
            </w:r>
          </w:p>
        </w:tc>
        <w:tc>
          <w:tcPr>
            <w:tcW w:w="1956"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Status</w:t>
            </w:r>
          </w:p>
        </w:tc>
        <w:tc>
          <w:tcPr>
            <w:tcW w:w="975"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Owner</w:t>
            </w:r>
          </w:p>
        </w:tc>
      </w:tr>
      <w:tr>
        <w:trPr/>
        <w:tc>
          <w:tcPr>
            <w:tcW w:w="115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European Union</w:t>
            </w:r>
          </w:p>
        </w:tc>
        <w:tc>
          <w:tcPr>
            <w:tcW w:w="369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EU AI Act (Regulation (EU) 2024/1689) Article 27 (Fundamental Rights Impact Assessment) for deployers of high-risk systems: admissions, learning-outcome evaluation, education-level assignment within institutions, and proctoring. Applies to institutions operating in or serving the EU market.</w:t>
            </w:r>
          </w:p>
        </w:tc>
        <w:tc>
          <w:tcPr>
            <w:tcW w:w="129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2 August 2026</w:t>
            </w:r>
          </w:p>
        </w:tc>
        <w:tc>
          <w:tcPr>
            <w:tcW w:w="195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[Not started / Under way / Complete and registered]</w:t>
            </w:r>
          </w:p>
        </w:tc>
        <w:tc>
          <w:tcPr>
            <w:tcW w:w="97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[NAME]</w:t>
            </w:r>
          </w:p>
        </w:tc>
      </w:tr>
      <w:tr>
        <w:trPr>
          <w:cantSplit/>
        </w:trPr>
        <w:tc>
          <w:tcPr>
            <w:tcW w:w="1153"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Australia</w:t>
            </w:r>
          </w:p>
        </w:tc>
        <w:tc>
          <w:tcPr>
            <w:tcW w:w="3695"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Privacy Act 1988 (Cth), as amended by the Privacy and Other Legislation Amendment Act 2024, regarding automated-decision-making transparency. Under this requirement, the privacy policy must state the kinds of decisions made by substantially automated means and the personal information used in them. Applies to institutions subject to that regime.</w:t>
            </w:r>
          </w:p>
        </w:tc>
        <w:tc>
          <w:tcPr>
            <w:tcW w:w="1293"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10 December 2026</w:t>
            </w:r>
          </w:p>
        </w:tc>
        <w:tc>
          <w:tcPr>
            <w:tcW w:w="1956"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[Not started / Under way / Complete]</w:t>
            </w:r>
          </w:p>
        </w:tc>
        <w:tc>
          <w:tcPr>
            <w:tcW w:w="975"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[NAME]</w:t>
            </w:r>
          </w:p>
        </w:tc>
      </w:tr>
    </w:tbl>
    <w:p>
      <w:pPr>
        <w:pStyle w:val="TableCaption"/>
        <w:spacing w:before="240" w:after="280"/>
        <w:rPr/>
      </w:pPr>
      <w:r>
        <w:rPr/>
        <w:t>Table 4. Regulatory obligations by jurisdiction with effective dates, current compliance status, and designated owners.</w:t>
      </w:r>
    </w:p>
    <w:p>
      <w:pPr>
        <w:pStyle w:val="BodyText"/>
        <w:rPr/>
      </w:pPr>
      <w:r>
        <w:rPr/>
        <w:t xml:space="preserve">Both of these regulations apply directly to educational and administrative AI systems rather than academic research use itself. For each applicable obligation, a named owner, documented compliance plan, and published timeline supply evidence toward the relevant Dimension 5 criterion (§2.5). One regulatory action does not establish the whole dimension. Dimension 5 reaches </w:t>
      </w:r>
      <w:r>
        <w:rPr>
          <w:i/>
          <w:iCs/>
        </w:rPr>
        <w:t>established</w:t>
      </w:r>
      <w:r>
        <w:rPr/>
        <w:t xml:space="preserve"> only when its policy, people, systems, and process cells all meet </w:t>
      </w:r>
      <w:r>
        <w:rPr>
          <w:i/>
          <w:iCs/>
        </w:rPr>
        <w:t>established</w:t>
      </w:r>
      <w:r>
        <w:rPr/>
        <w:t xml:space="preserve"> (§5.1).</w:t>
      </w:r>
      <w:bookmarkEnd w:id="6"/>
    </w:p>
    <w:p>
      <w:pPr>
        <w:pStyle w:val="Heading3"/>
        <w:rPr/>
      </w:pPr>
      <w:bookmarkStart w:id="7" w:name="why-there-is-no-single-readiness-score"/>
      <w:r>
        <w:rPr/>
        <w:t>5. Why there is no single readiness score</w:t>
      </w:r>
    </w:p>
    <w:p>
      <w:pPr>
        <w:pStyle w:val="FirstParagraph"/>
        <w:rPr/>
      </w:pPr>
      <w:r>
        <w:rPr>
          <w:i/>
          <w:iCs/>
        </w:rPr>
        <w:t>To be read aloud.</w:t>
      </w:r>
      <w:r>
        <w:rPr/>
        <w:t xml:space="preserve"> We are not giving [COMMITTEE] a single overall readiness score, and that is deliberate. Institutional readiness actually comes down to five distinct areas. First, it depends on whether we have clearly defined which research judgments must remain human. Second, it depends on whether that standard is actively applied in advising, supervision, and dissertation committees. Third, it depends on whether the software and tools we procure make that standard easy to follow. Fourth, it depends on whether our researchers, faculty, and students have the necessary AI literacy to do this work. And fifth, it depends on whether we routinely benchmark our progress and publish the results.</w:t>
      </w:r>
    </w:p>
    <w:p>
      <w:pPr>
        <w:pStyle w:val="BodyText"/>
        <w:rPr/>
      </w:pPr>
      <w:r>
        <w:rPr/>
        <w:t>Calculating an average score across these areas would allow a high rating in one dimension to hide a serious deficiency in another, even though that deficiency is what actually limits institutional capability. For that reason, we report five separate levels, identify the specific constraint holding us back, and ask for the three concrete decisions outlined above.</w:t>
      </w:r>
    </w:p>
    <w:p>
      <w:pPr>
        <w:pStyle w:val="BodyText"/>
        <w:rPr/>
      </w:pPr>
      <w:r>
        <w:rPr>
          <w:b/>
          <w:bCs/>
        </w:rPr>
        <w:t>Presented by [NAME], [TITLE], [DATE]. Documentary coverage status: ☐ Final ☐ Provisional. D5 assurance: ☐ Assured ☐ Unassured.</w:t>
      </w:r>
      <w:r>
        <w:rPr/>
        <w:t xml:space="preserve"> </w:t>
      </w:r>
      <w:r>
        <w:rPr>
          <w:i/>
          <w:iCs/>
        </w:rPr>
        <w:t>Final or Provisional concerns A1 documentary coverage only. When D5 is below Established, only Established or Leading claims in D1 to D4 are unassured. Lower documentary levels remain valid descriptions.</w:t>
      </w:r>
    </w:p>
    <w:p>
      <w:pPr>
        <w:pStyle w:val="Normal"/>
        <w:rPr/>
      </w:pPr>
      <w:r>
        <w:rPr/>
        <mc:AlternateContent>
          <mc:Choice Requires="wps">
            <w:drawing>
              <wp:inline distT="0" distB="0" distL="0" distR="0">
                <wp:extent cx="5760720" cy="19050"/>
                <wp:effectExtent l="0" t="0" r="0" b="0"/>
                <wp:docPr id="2" name="Shape2"/>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2"/>
      <w:bookmarkEnd w:id="7"/>
    </w:p>
    <w:p>
      <w:pPr>
        <w:pStyle w:val="Heading2"/>
        <w:rPr/>
      </w:pPr>
      <w:bookmarkStart w:id="8" w:name="crosswalk-item-to-report-section"/>
      <w:r>
        <w:rPr/>
        <w:t>Crosswalk: Item to report section</w:t>
      </w:r>
    </w:p>
    <w:tbl>
      <w:tblPr>
        <w:tblStyle w:val="Table"/>
        <w:tblW w:w="9072" w:type="dxa"/>
        <w:jc w:val="start"/>
        <w:tblInd w:w="108" w:type="dxa"/>
        <w:tblLayout w:type="fixed"/>
        <w:tblCellMar>
          <w:top w:w="72" w:type="dxa"/>
          <w:start w:w="108" w:type="dxa"/>
          <w:bottom w:w="72" w:type="dxa"/>
          <w:end w:w="108" w:type="dxa"/>
        </w:tblCellMar>
        <w:tblLook w:noHBand="0" w:lastColumn="0" w:firstColumn="0" w:lastRow="0" w:firstRow="1" w:noVBand="0" w:val="0020"/>
      </w:tblPr>
      <w:tblGrid>
        <w:gridCol w:w="4594"/>
        <w:gridCol w:w="4478"/>
      </w:tblGrid>
      <w:tr>
        <w:trPr>
          <w:tblHeader w:val="true"/>
        </w:trPr>
        <w:tc>
          <w:tcPr>
            <w:tcW w:w="4594"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Item</w:t>
            </w:r>
          </w:p>
        </w:tc>
        <w:tc>
          <w:tcPr>
            <w:tcW w:w="4478"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Report section</w:t>
            </w:r>
          </w:p>
        </w:tc>
      </w:tr>
      <w:tr>
        <w:trPr/>
        <w:tc>
          <w:tcPr>
            <w:tcW w:w="459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Profile row D1: Human-in-the-loop discipline</w:t>
            </w:r>
          </w:p>
        </w:tc>
        <w:tc>
          <w:tcPr>
            <w:tcW w:w="447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§2.1, Appendix A row 1</w:t>
            </w:r>
          </w:p>
        </w:tc>
      </w:tr>
      <w:tr>
        <w:trPr/>
        <w:tc>
          <w:tcPr>
            <w:tcW w:w="459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Profile row D2: Responsible use in practice</w:t>
            </w:r>
          </w:p>
        </w:tc>
        <w:tc>
          <w:tcPr>
            <w:tcW w:w="447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§2.2, Appendix A row 2</w:t>
            </w:r>
          </w:p>
        </w:tc>
      </w:tr>
      <w:tr>
        <w:trPr/>
        <w:tc>
          <w:tcPr>
            <w:tcW w:w="459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Profile row D3: Tooling that promotes responsible use</w:t>
            </w:r>
          </w:p>
        </w:tc>
        <w:tc>
          <w:tcPr>
            <w:tcW w:w="447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§2.3, Appendix A row 3</w:t>
            </w:r>
          </w:p>
        </w:tc>
      </w:tr>
      <w:tr>
        <w:trPr/>
        <w:tc>
          <w:tcPr>
            <w:tcW w:w="459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Profile row D4: AI-literate humans</w:t>
            </w:r>
          </w:p>
        </w:tc>
        <w:tc>
          <w:tcPr>
            <w:tcW w:w="447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§2.4, Appendix A row 4</w:t>
            </w:r>
          </w:p>
        </w:tc>
      </w:tr>
      <w:tr>
        <w:trPr/>
        <w:tc>
          <w:tcPr>
            <w:tcW w:w="459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Profile row D5: Institutional benchmarking grid</w:t>
            </w:r>
          </w:p>
        </w:tc>
        <w:tc>
          <w:tcPr>
            <w:tcW w:w="447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§2.5, Appendix A row 5</w:t>
            </w:r>
          </w:p>
        </w:tc>
      </w:tr>
      <w:tr>
        <w:trPr/>
        <w:tc>
          <w:tcPr>
            <w:tcW w:w="459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Reading rule: Level is the lowest of four axes</w:t>
            </w:r>
          </w:p>
        </w:tc>
        <w:tc>
          <w:tcPr>
            <w:tcW w:w="447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§4.1, §2.5</w:t>
            </w:r>
          </w:p>
        </w:tc>
      </w:tr>
      <w:tr>
        <w:trPr/>
        <w:tc>
          <w:tcPr>
            <w:tcW w:w="459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Coverage and the </w:t>
            </w:r>
            <w:r>
              <w:rPr>
                <w:i/>
                <w:iCs/>
                <w:kern w:val="0"/>
                <w:szCs w:val="22"/>
                <w:lang w:val="en-US" w:eastAsia="en-US" w:bidi="ar-SA"/>
              </w:rPr>
              <w:t>Provisional</w:t>
            </w:r>
            <w:r>
              <w:rPr>
                <w:kern w:val="0"/>
                <w:szCs w:val="22"/>
                <w:lang w:val="en-US" w:eastAsia="en-US" w:bidi="ar-SA"/>
              </w:rPr>
              <w:t xml:space="preserve"> marking</w:t>
            </w:r>
          </w:p>
        </w:tc>
        <w:tc>
          <w:tcPr>
            <w:tcW w:w="447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A1 scoring convention, resting on §4.1 (levels represent observable behavior, not assertions)</w:t>
            </w:r>
          </w:p>
        </w:tc>
      </w:tr>
      <w:tr>
        <w:trPr/>
        <w:tc>
          <w:tcPr>
            <w:tcW w:w="459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i/>
                <w:iCs/>
                <w:kern w:val="0"/>
                <w:szCs w:val="22"/>
                <w:lang w:val="en-US" w:eastAsia="en-US" w:bidi="ar-SA"/>
              </w:rPr>
              <w:t>Since last report</w:t>
            </w:r>
            <w:r>
              <w:rPr>
                <w:kern w:val="0"/>
                <w:szCs w:val="22"/>
                <w:lang w:val="en-US" w:eastAsia="en-US" w:bidi="ar-SA"/>
              </w:rPr>
              <w:t xml:space="preserve"> column and cell tally</w:t>
            </w:r>
          </w:p>
        </w:tc>
        <w:tc>
          <w:tcPr>
            <w:tcW w:w="447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§5.1 (third action), Appendix A row 5</w:t>
            </w:r>
          </w:p>
        </w:tc>
      </w:tr>
      <w:tr>
        <w:trPr/>
        <w:tc>
          <w:tcPr>
            <w:tcW w:w="459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Block 2: Binding dimension and its constraint</w:t>
            </w:r>
          </w:p>
        </w:tc>
        <w:tc>
          <w:tcPr>
            <w:tcW w:w="447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§4.3</w:t>
            </w:r>
          </w:p>
        </w:tc>
      </w:tr>
      <w:tr>
        <w:trPr/>
        <w:tc>
          <w:tcPr>
            <w:tcW w:w="459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Ask 1: Name the benchmarking owner and cadence</w:t>
            </w:r>
          </w:p>
        </w:tc>
        <w:tc>
          <w:tcPr>
            <w:tcW w:w="447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§5.1 (first action), §2.5</w:t>
            </w:r>
          </w:p>
        </w:tc>
      </w:tr>
      <w:tr>
        <w:trPr/>
        <w:tc>
          <w:tcPr>
            <w:tcW w:w="459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Ask 2: Approve the procurement standard and gate</w:t>
            </w:r>
          </w:p>
        </w:tc>
        <w:tc>
          <w:tcPr>
            <w:tcW w:w="447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§2.3, §5.1 (fourth action), Appendix A row 3</w:t>
            </w:r>
          </w:p>
        </w:tc>
      </w:tr>
      <w:tr>
        <w:trPr/>
        <w:tc>
          <w:tcPr>
            <w:tcW w:w="459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Ask 3: Fund literacy as a recurring budget line</w:t>
            </w:r>
          </w:p>
        </w:tc>
        <w:tc>
          <w:tcPr>
            <w:tcW w:w="447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§2.4, §5.1 (fourth action), Appendix A row 4</w:t>
            </w:r>
          </w:p>
        </w:tc>
      </w:tr>
      <w:tr>
        <w:trPr/>
        <w:tc>
          <w:tcPr>
            <w:tcW w:w="459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Regulatory exposure: European Union, Article 27</w:t>
            </w:r>
          </w:p>
        </w:tc>
        <w:tc>
          <w:tcPr>
            <w:tcW w:w="447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§2.3, §2.5, §5.1 (second action)</w:t>
            </w:r>
          </w:p>
        </w:tc>
      </w:tr>
      <w:tr>
        <w:trPr/>
        <w:tc>
          <w:tcPr>
            <w:tcW w:w="459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Regulatory exposure: Australia, Privacy Act 1988</w:t>
            </w:r>
          </w:p>
        </w:tc>
        <w:tc>
          <w:tcPr>
            <w:tcW w:w="447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§2.5, §5.1 (second action), Appendix A row 5</w:t>
            </w:r>
          </w:p>
        </w:tc>
      </w:tr>
      <w:tr>
        <w:trPr/>
        <w:tc>
          <w:tcPr>
            <w:tcW w:w="459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Block 5: Why there is no single readiness score</w:t>
            </w:r>
          </w:p>
        </w:tc>
        <w:tc>
          <w:tcPr>
            <w:tcW w:w="447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§4.3</w:t>
            </w:r>
          </w:p>
        </w:tc>
      </w:tr>
      <w:tr>
        <w:trPr/>
        <w:tc>
          <w:tcPr>
            <w:tcW w:w="459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Preparer note: Class A to D is a separate descriptor</w:t>
            </w:r>
          </w:p>
        </w:tc>
        <w:tc>
          <w:tcPr>
            <w:tcW w:w="447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§1.3</w:t>
            </w:r>
          </w:p>
        </w:tc>
      </w:tr>
      <w:tr>
        <w:trPr/>
        <w:tc>
          <w:tcPr>
            <w:tcW w:w="459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Preparer note: Other-jurisdiction pressure points</w:t>
            </w:r>
          </w:p>
        </w:tc>
        <w:tc>
          <w:tcPr>
            <w:tcW w:w="447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Appendix F</w:t>
            </w:r>
          </w:p>
        </w:tc>
      </w:tr>
      <w:tr>
        <w:trPr/>
        <w:tc>
          <w:tcPr>
            <w:tcW w:w="4594"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Preparer note: What Dimension 5 </w:t>
            </w:r>
            <w:r>
              <w:rPr>
                <w:i/>
                <w:iCs/>
                <w:kern w:val="0"/>
                <w:szCs w:val="22"/>
                <w:lang w:val="en-US" w:eastAsia="en-US" w:bidi="ar-SA"/>
              </w:rPr>
              <w:t>leading</w:t>
            </w:r>
            <w:r>
              <w:rPr>
                <w:kern w:val="0"/>
                <w:szCs w:val="22"/>
                <w:lang w:val="en-US" w:eastAsia="en-US" w:bidi="ar-SA"/>
              </w:rPr>
              <w:t xml:space="preserve"> requires</w:t>
            </w:r>
          </w:p>
        </w:tc>
        <w:tc>
          <w:tcPr>
            <w:tcW w:w="4478"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§4.2, Appendix A row 5</w:t>
            </w:r>
          </w:p>
        </w:tc>
      </w:tr>
    </w:tbl>
    <w:p>
      <w:pPr>
        <w:pStyle w:val="TableCaption"/>
        <w:spacing w:before="240" w:after="280"/>
        <w:rPr/>
      </w:pPr>
      <w:r>
        <w:rPr/>
        <w:t>Table 5. Mapping of specific assessment items to corresponding report sections and reference locations.</w:t>
      </w:r>
    </w:p>
    <w:p>
      <w:pPr>
        <w:pStyle w:val="Normal"/>
        <w:rPr/>
      </w:pPr>
      <w:r>
        <w:rPr/>
        <mc:AlternateContent>
          <mc:Choice Requires="wps">
            <w:drawing>
              <wp:inline distT="0" distB="0" distL="0" distR="0">
                <wp:extent cx="5760720" cy="19050"/>
                <wp:effectExtent l="0" t="0" r="0" b="0"/>
                <wp:docPr id="3" name="Shape3"/>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p>
    <w:p>
      <w:pPr>
        <w:pStyle w:val="FirstParagraph"/>
        <w:rPr/>
      </w:pPr>
      <w:hyperlink r:id="rId4">
        <w:r>
          <w:rPr>
            <w:rStyle w:val="Hyperlink"/>
          </w:rPr>
          <w:drawing>
            <wp:inline distT="0" distB="0" distL="0" distR="0">
              <wp:extent cx="914400" cy="235585"/>
              <wp:effectExtent l="0" t="0" r="0" b="0"/>
              <wp:docPr id="4" name="Picture" descr="Insta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descr="Instats"/>
                      <pic:cNvPicPr>
                        <a:picLocks noChangeAspect="1" noChangeArrowheads="1"/>
                      </pic:cNvPicPr>
                    </pic:nvPicPr>
                    <pic:blipFill>
                      <a:blip r:embed="rId5"/>
                      <a:stretch>
                        <a:fillRect/>
                      </a:stretch>
                    </pic:blipFill>
                    <pic:spPr bwMode="auto">
                      <a:xfrm>
                        <a:off x="0" y="0"/>
                        <a:ext cx="914400" cy="235585"/>
                      </a:xfrm>
                      <a:prstGeom prst="rect">
                        <a:avLst/>
                      </a:prstGeom>
                      <a:noFill/>
                    </pic:spPr>
                  </pic:pic>
                </a:graphicData>
              </a:graphic>
            </wp:inline>
          </w:drawing>
        </w:r>
      </w:hyperlink>
    </w:p>
    <w:p>
      <w:pPr>
        <w:pStyle w:val="BodyText"/>
        <w:rPr/>
      </w:pPr>
      <w:r>
        <w:rPr>
          <w:b/>
          <w:bCs/>
        </w:rPr>
        <w:t>Michael J. Zyphur, PhD</w:t>
      </w:r>
      <w:r>
        <w:rPr/>
        <w:t xml:space="preserve"> · Professor and Director, Instats · </w:t>
      </w:r>
      <w:hyperlink r:id="rId6">
        <w:r>
          <w:rPr>
            <w:rStyle w:val="Hyperlink"/>
          </w:rPr>
          <w:t>instats.org</w:t>
        </w:r>
      </w:hyperlink>
      <w:r>
        <w:rPr/>
        <w:t xml:space="preserve"> · </w:t>
      </w:r>
      <w:hyperlink r:id="rId7">
        <w:r>
          <w:rPr>
            <w:rStyle w:val="Hyperlink"/>
          </w:rPr>
          <w:t>support@instats.org</w:t>
        </w:r>
      </w:hyperlink>
    </w:p>
    <w:p>
      <w:pPr>
        <w:pStyle w:val="InstatsColophon"/>
        <w:keepNext w:val="true"/>
        <w:keepLines/>
        <w:rPr/>
      </w:pPr>
      <w:r>
        <w:rPr>
          <w:b/>
          <w:bCs/>
        </w:rPr>
        <w:t>Cite the pack.</w:t>
      </w:r>
      <w:r>
        <w:rPr/>
        <w:t xml:space="preserve"> Zyphur, M. J. (2026). </w:t>
      </w:r>
      <w:hyperlink r:id="rId8">
        <w:r>
          <w:rPr>
            <w:rStyle w:val="Hyperlink"/>
            <w:i/>
            <w:iCs/>
          </w:rPr>
          <w:t>The Institutional AI Readiness Pack: Self-Assessment and Implementation Tools for Responsible AI in Academic Research</w:t>
        </w:r>
      </w:hyperlink>
      <w:r>
        <w:rPr>
          <w:i/>
          <w:iCs/>
        </w:rPr>
        <w:t>.</w:t>
      </w:r>
      <w:r>
        <w:rPr/>
        <w:t xml:space="preserve"> Instats Policy Series. </w:t>
      </w:r>
      <w:hyperlink r:id="rId9">
        <w:r>
          <w:rPr>
            <w:rStyle w:val="Hyperlink"/>
          </w:rPr>
          <w:t>https://doi.org/10.61700/bv2nulyhht</w:t>
        </w:r>
      </w:hyperlink>
    </w:p>
    <w:p>
      <w:pPr>
        <w:pStyle w:val="InstatsColophon"/>
        <w:keepNext w:val="true"/>
        <w:keepLines/>
        <w:rPr/>
      </w:pPr>
      <w:r>
        <w:rPr>
          <w:b/>
          <w:bCs/>
        </w:rPr>
        <w:t>Companion report.</w:t>
      </w:r>
      <w:r>
        <w:rPr/>
        <w:t xml:space="preserve"> Zyphur, M. J. (2026). </w:t>
      </w:r>
      <w:hyperlink r:id="rId10">
        <w:r>
          <w:rPr>
            <w:rStyle w:val="Hyperlink"/>
            <w:i/>
            <w:iCs/>
          </w:rPr>
          <w:t>Responsible AI in Academic Research: A Competency Framework for Research Training</w:t>
        </w:r>
      </w:hyperlink>
      <w:r>
        <w:rPr>
          <w:i/>
          <w:iCs/>
        </w:rPr>
        <w:t>.</w:t>
      </w:r>
      <w:r>
        <w:rPr/>
        <w:t xml:space="preserve"> Instats Policy Series. </w:t>
      </w:r>
      <w:hyperlink r:id="rId11">
        <w:r>
          <w:rPr>
            <w:rStyle w:val="Hyperlink"/>
          </w:rPr>
          <w:t>https://doi.org/10.61700/t31oy23grr</w:t>
        </w:r>
      </w:hyperlink>
    </w:p>
    <w:p>
      <w:pPr>
        <w:pStyle w:val="InstatsColophon"/>
        <w:keepLines/>
        <w:pBdr>
          <w:left w:val="single" w:sz="24" w:space="10" w:color="3092B1"/>
        </w:pBdr>
        <w:spacing w:lineRule="auto" w:line="336" w:before="80" w:after="160"/>
        <w:ind w:start="283"/>
        <w:rPr/>
      </w:pPr>
      <w:r>
        <w:rPr>
          <w:b/>
          <w:bCs/>
        </w:rPr>
        <w:t>License.</w:t>
      </w:r>
      <w:r>
        <w:rPr/>
        <w:t xml:space="preserve"> The pack and its instruments are licensed under </w:t>
      </w:r>
      <w:hyperlink r:id="rId12">
        <w:r>
          <w:rPr>
            <w:rStyle w:val="Hyperlink"/>
          </w:rPr>
          <w:t>Creative Commons Attribution 4.0 International (CC BY 4.0)</w:t>
        </w:r>
      </w:hyperlink>
      <w:r>
        <w:rPr/>
        <w:t>. You may adapt them for institutional use with attribution.</w:t>
      </w:r>
      <w:bookmarkEnd w:id="0"/>
      <w:bookmarkEnd w:id="8"/>
    </w:p>
    <w:sectPr>
      <w:headerReference w:type="even" r:id="rId13"/>
      <w:headerReference w:type="default" r:id="rId14"/>
      <w:headerReference w:type="first" r:id="rId15"/>
      <w:footerReference w:type="even" r:id="rId16"/>
      <w:footerReference w:type="default" r:id="rId17"/>
      <w:footerReference w:type="first" r:id="rId18"/>
      <w:type w:val="nextPage"/>
      <w:pgSz w:w="11906" w:h="16838"/>
      <w:pgMar w:left="1417" w:right="1417" w:gutter="0" w:header="720" w:top="1361" w:footer="720" w:bottom="1361"/>
      <w:pgNumType w:fmt="decimal"/>
      <w:formProt w:val="false"/>
      <w:titlePg/>
      <w:textDirection w:val="lrTb"/>
      <w:docGrid w:type="default" w:linePitch="360" w:charSpace="0"/>
    </w:sectPr>
  </w:body>
</w:document>
</file>

<file path=word/fontTable.xml><?xml version="1.0" encoding="utf-8"?>
<w:fonts xmlns:w="http://schemas.openxmlformats.org/wordprocessingml/2006/main">
  <w:font w:name="Georgia">
    <w:family w:val="roman"/>
    <w:pitch w:val="variable"/>
  </w:font>
  <w:font w:name="Arial">
    <w:family w:val="swiss"/>
    <w:pitch w:val="variable"/>
  </w:font>
  <w:font w:name="Courier New">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fldChar w:fldCharType="begin"/>
    </w:r>
    <w:r>
      <w:rPr/>
      <w:instrText xml:space="preserve"> PAGE </w:instrText>
    </w:r>
    <w:r>
      <w:rPr/>
      <w:fldChar w:fldCharType="separate"/>
    </w:r>
    <w:r>
      <w:rPr/>
      <w:t>7</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end"/>
      <w:rPr/>
    </w:pPr>
    <w:r>
      <w:rPr>
        <w:rFonts w:ascii="Arial" w:hAnsi="Arial"/>
        <w:i/>
        <w:color w:val="495057"/>
        <w:sz w:val="17"/>
      </w:rPr>
      <w:t>Instats Policy Series  ·  AI Readiness Pack</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360"/>
        </w:tabs>
        <w:ind w:start="36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2">
    <w:lvl w:ilvl="0">
      <w:start w:val="1"/>
      <w:numFmt w:val="bullet"/>
      <w:lvlText w:val=""/>
      <w:lvlJc w:val="start"/>
      <w:pPr>
        <w:tabs>
          <w:tab w:val="num" w:pos="720"/>
        </w:tabs>
        <w:ind w:start="72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3">
    <w:lvl w:ilvl="0">
      <w:start w:val="1"/>
      <w:numFmt w:val="bullet"/>
      <w:lvlText w:val=""/>
      <w:lvlJc w:val="start"/>
      <w:pPr>
        <w:tabs>
          <w:tab w:val="num" w:pos="1080"/>
        </w:tabs>
        <w:ind w:start="108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4">
    <w:lvl w:ilvl="0">
      <w:start w:val="1"/>
      <w:numFmt w:val="decimal"/>
      <w:lvlText w:val="%1."/>
      <w:lvlJc w:val="start"/>
      <w:pPr>
        <w:tabs>
          <w:tab w:val="num" w:pos="360"/>
        </w:tabs>
        <w:ind w:start="36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5">
    <w:lvl w:ilvl="0">
      <w:start w:val="1"/>
      <w:numFmt w:val="decimal"/>
      <w:lvlText w:val="%1."/>
      <w:lvlJc w:val="start"/>
      <w:pPr>
        <w:tabs>
          <w:tab w:val="num" w:pos="720"/>
        </w:tabs>
        <w:ind w:start="72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6">
    <w:lvl w:ilvl="0">
      <w:start w:val="1"/>
      <w:numFmt w:val="decimal"/>
      <w:lvlText w:val="%1."/>
      <w:lvlJc w:val="start"/>
      <w:pPr>
        <w:tabs>
          <w:tab w:val="num" w:pos="1080"/>
        </w:tabs>
        <w:ind w:start="108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7">
    <w:lvl w:ilvl="0">
      <w:numFmt w:val="bullet"/>
      <w:lvlText w:val=""/>
      <w:lvlJc w:val="start"/>
      <w:pPr>
        <w:tabs>
          <w:tab w:val="num" w:pos="0"/>
        </w:tabs>
        <w:ind w:start="720" w:hanging="360"/>
      </w:pPr>
      <w:rPr>
        <w:rFonts w:ascii="Symbol" w:hAnsi="Symbol" w:cs="Symbol" w:hint="default"/>
      </w:rPr>
    </w:lvl>
    <w:lvl w:ilvl="1">
      <w:start w:val="0"/>
      <w:numFmt w:val="bullet"/>
      <w:lvlText w:val="o"/>
      <w:lvlJc w:val="start"/>
      <w:pPr>
        <w:tabs>
          <w:tab w:val="num" w:pos="0"/>
        </w:tabs>
        <w:ind w:start="1440" w:hanging="360"/>
      </w:pPr>
      <w:rPr>
        <w:rFonts w:ascii="Courier New" w:hAnsi="Courier New" w:cs="Courier New" w:hint="default"/>
      </w:rPr>
    </w:lvl>
    <w:lvl w:ilvl="2">
      <w:start w:val="0"/>
      <w:numFmt w:val="bullet"/>
      <w:lvlText w:val=""/>
      <w:lvlJc w:val="start"/>
      <w:pPr>
        <w:tabs>
          <w:tab w:val="num" w:pos="0"/>
        </w:tabs>
        <w:ind w:start="2160" w:hanging="360"/>
      </w:pPr>
      <w:rPr>
        <w:rFonts w:ascii="Wingdings" w:hAnsi="Wingdings" w:cs="Wingdings" w:hint="default"/>
      </w:rPr>
    </w:lvl>
    <w:lvl w:ilvl="3">
      <w:start w:val="0"/>
      <w:numFmt w:val="bullet"/>
      <w:lvlText w:val=""/>
      <w:lvlJc w:val="start"/>
      <w:pPr>
        <w:tabs>
          <w:tab w:val="num" w:pos="0"/>
        </w:tabs>
        <w:ind w:start="2880" w:hanging="360"/>
      </w:pPr>
      <w:rPr>
        <w:rFonts w:ascii="Symbol" w:hAnsi="Symbol" w:cs="Symbol" w:hint="default"/>
      </w:rPr>
    </w:lvl>
    <w:lvl w:ilvl="4">
      <w:start w:val="0"/>
      <w:numFmt w:val="bullet"/>
      <w:lvlText w:val="o"/>
      <w:lvlJc w:val="start"/>
      <w:pPr>
        <w:tabs>
          <w:tab w:val="num" w:pos="0"/>
        </w:tabs>
        <w:ind w:start="3600" w:hanging="360"/>
      </w:pPr>
      <w:rPr>
        <w:rFonts w:ascii="Courier New" w:hAnsi="Courier New" w:cs="Courier New" w:hint="default"/>
      </w:rPr>
    </w:lvl>
    <w:lvl w:ilvl="5">
      <w:start w:val="0"/>
      <w:numFmt w:val="bullet"/>
      <w:lvlText w:val=""/>
      <w:lvlJc w:val="start"/>
      <w:pPr>
        <w:tabs>
          <w:tab w:val="num" w:pos="0"/>
        </w:tabs>
        <w:ind w:start="4320" w:hanging="360"/>
      </w:pPr>
      <w:rPr>
        <w:rFonts w:ascii="Wingdings" w:hAnsi="Wingdings" w:cs="Wingdings" w:hint="default"/>
      </w:rPr>
    </w:lvl>
    <w:lvl w:ilvl="6">
      <w:start w:val="0"/>
      <w:numFmt w:val="bullet"/>
      <w:lvlText w:val=""/>
      <w:lvlJc w:val="start"/>
      <w:pPr>
        <w:tabs>
          <w:tab w:val="num" w:pos="0"/>
        </w:tabs>
        <w:ind w:start="5040" w:hanging="360"/>
      </w:pPr>
      <w:rPr>
        <w:rFonts w:ascii="Symbol" w:hAnsi="Symbol" w:cs="Symbol" w:hint="default"/>
      </w:rPr>
    </w:lvl>
    <w:lvl w:ilvl="7">
      <w:start w:val="0"/>
      <w:numFmt w:val="bullet"/>
      <w:lvlText w:val="o"/>
      <w:lvlJc w:val="start"/>
      <w:pPr>
        <w:tabs>
          <w:tab w:val="num" w:pos="0"/>
        </w:tabs>
        <w:ind w:start="5760" w:hanging="360"/>
      </w:pPr>
      <w:rPr>
        <w:rFonts w:ascii="Courier New" w:hAnsi="Courier New" w:cs="Courier New" w:hint="default"/>
      </w:rPr>
    </w:lvl>
    <w:lvl w:ilvl="8">
      <w:start w:val="0"/>
      <w:numFmt w:val="bullet"/>
      <w:lvlText w:val=""/>
      <w:lvlJc w:val="start"/>
      <w:pPr>
        <w:tabs>
          <w:tab w:val="num" w:pos="0"/>
        </w:tabs>
        <w:ind w:start="6480" w:hanging="360"/>
      </w:pPr>
      <w:rPr>
        <w:rFonts w:ascii="Wingdings" w:hAnsi="Wingdings" w:cs="Wingdings" w:hint="default"/>
      </w:rPr>
    </w:lvl>
  </w:abstractNum>
  <w:abstractNum w:abstractNumId="8">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embedSystemFonts/>
  <w:defaultTabStop w:val="720"/>
  <w:autoHyphenation w:val="true"/>
  <w:hyphenationZone w:val="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Georgia" w:hAnsi="Georgia" w:eastAsia="Georgia" w:cs="Georgia"/>
        <w:sz w:val="22"/>
        <w:szCs w:val="22"/>
        <w:lang w:val="en-US" w:eastAsia="en-US" w:bidi="ar-SA"/>
      </w:rPr>
    </w:rPrDefault>
    <w:pPrDefault>
      <w:pPr>
        <w:suppressAutoHyphens w:val="true"/>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c693f"/>
    <w:pPr>
      <w:widowControl/>
      <w:suppressAutoHyphens w:val="true"/>
      <w:bidi w:val="0"/>
      <w:spacing w:lineRule="auto" w:line="348" w:before="0" w:after="160"/>
      <w:jc w:val="start"/>
    </w:pPr>
    <w:rPr>
      <w:rFonts w:ascii="Georgia" w:hAnsi="Georgia" w:eastAsia="Georgia" w:cs="Georgia"/>
      <w:color w:val="212529"/>
      <w:kern w:val="0"/>
      <w:sz w:val="24"/>
      <w:szCs w:val="22"/>
      <w:lang w:val="en-US" w:eastAsia="en-US" w:bidi="ar-SA"/>
    </w:rPr>
  </w:style>
  <w:style w:type="paragraph" w:styleId="Heading1">
    <w:name w:val="heading 1"/>
    <w:basedOn w:val="Normal"/>
    <w:next w:val="Normal"/>
    <w:link w:val="Heading1Char"/>
    <w:uiPriority w:val="9"/>
    <w:qFormat/>
    <w:rsid w:val="00fc693f"/>
    <w:pPr>
      <w:keepNext w:val="true"/>
      <w:keepLines/>
      <w:spacing w:lineRule="auto" w:line="288" w:before="480" w:after="200"/>
      <w:outlineLvl w:val="0"/>
    </w:pPr>
    <w:rPr>
      <w:rFonts w:ascii="Arial" w:hAnsi="Arial" w:eastAsia="Arial" w:cs="Arial"/>
      <w:b/>
      <w:bCs/>
      <w:color w:val="00547B"/>
      <w:sz w:val="36"/>
      <w:szCs w:val="28"/>
    </w:rPr>
  </w:style>
  <w:style w:type="paragraph" w:styleId="Heading2">
    <w:name w:val="heading 2"/>
    <w:basedOn w:val="Normal"/>
    <w:next w:val="Normal"/>
    <w:link w:val="Heading2Char"/>
    <w:uiPriority w:val="9"/>
    <w:unhideWhenUsed/>
    <w:qFormat/>
    <w:rsid w:val="00fc693f"/>
    <w:pPr>
      <w:keepNext w:val="true"/>
      <w:keepLines/>
      <w:spacing w:lineRule="auto" w:line="288" w:before="360" w:after="120"/>
      <w:outlineLvl w:val="1"/>
    </w:pPr>
    <w:rPr>
      <w:rFonts w:ascii="Arial" w:hAnsi="Arial" w:eastAsia="Arial" w:cs="Arial"/>
      <w:b/>
      <w:bCs/>
      <w:color w:val="00547B"/>
      <w:sz w:val="28"/>
      <w:szCs w:val="26"/>
    </w:rPr>
  </w:style>
  <w:style w:type="paragraph" w:styleId="Heading3">
    <w:name w:val="heading 3"/>
    <w:basedOn w:val="Normal"/>
    <w:next w:val="Normal"/>
    <w:link w:val="Heading3Char"/>
    <w:uiPriority w:val="9"/>
    <w:unhideWhenUsed/>
    <w:qFormat/>
    <w:rsid w:val="00fc693f"/>
    <w:pPr>
      <w:keepNext w:val="true"/>
      <w:keepLines/>
      <w:spacing w:lineRule="auto" w:line="288" w:before="280" w:after="80"/>
      <w:outlineLvl w:val="2"/>
    </w:pPr>
    <w:rPr>
      <w:rFonts w:ascii="Arial" w:hAnsi="Arial" w:eastAsia="Arial" w:cs="Arial"/>
      <w:b/>
      <w:bCs/>
      <w:color w:val="3092B1"/>
      <w:sz w:val="24"/>
    </w:rPr>
  </w:style>
  <w:style w:type="paragraph" w:styleId="Heading4">
    <w:name w:val="heading 4"/>
    <w:basedOn w:val="Normal"/>
    <w:next w:val="Normal"/>
    <w:link w:val="Heading4Char"/>
    <w:uiPriority w:val="9"/>
    <w:semiHidden/>
    <w:unhideWhenUsed/>
    <w:qFormat/>
    <w:rsid w:val="00fc693f"/>
    <w:pPr>
      <w:keepNext w:val="true"/>
      <w:keepLines/>
      <w:spacing w:lineRule="auto" w:line="288" w:before="240" w:after="80"/>
      <w:outlineLvl w:val="3"/>
    </w:pPr>
    <w:rPr>
      <w:rFonts w:ascii="Arial" w:hAnsi="Arial" w:eastAsia="Arial" w:cs="Arial"/>
      <w:b/>
      <w:bCs/>
      <w:i/>
      <w:iCs/>
      <w:color w:val="495057"/>
      <w:sz w:val="21"/>
    </w:rPr>
  </w:style>
  <w:style w:type="paragraph" w:styleId="Heading5">
    <w:name w:val="heading 5"/>
    <w:basedOn w:val="Normal"/>
    <w:next w:val="Normal"/>
    <w:link w:val="Heading5Char"/>
    <w:uiPriority w:val="9"/>
    <w:semiHidden/>
    <w:unhideWhenUsed/>
    <w:qFormat/>
    <w:rsid w:val="00fc693f"/>
    <w:pPr>
      <w:keepNext w:val="true"/>
      <w:keepLines/>
      <w:spacing w:before="200" w:after="0"/>
      <w:outlineLvl w:val="4"/>
    </w:pPr>
    <w:rPr>
      <w:rFonts w:ascii="Arial" w:hAnsi="Arial" w:eastAsia="Arial" w:cs="Arial"/>
      <w:color w:themeColor="accent1" w:themeShade="7f" w:val="243F60"/>
    </w:rPr>
  </w:style>
  <w:style w:type="paragraph" w:styleId="Heading6">
    <w:name w:val="heading 6"/>
    <w:basedOn w:val="Normal"/>
    <w:next w:val="Normal"/>
    <w:link w:val="Heading6Char"/>
    <w:uiPriority w:val="9"/>
    <w:semiHidden/>
    <w:unhideWhenUsed/>
    <w:qFormat/>
    <w:rsid w:val="00fc693f"/>
    <w:pPr>
      <w:keepNext w:val="true"/>
      <w:keepLines/>
      <w:spacing w:before="200" w:after="0"/>
      <w:outlineLvl w:val="5"/>
    </w:pPr>
    <w:rPr>
      <w:rFonts w:ascii="Arial" w:hAnsi="Arial" w:eastAsia="Arial" w:cs="Arial"/>
      <w:i/>
      <w:iCs/>
      <w:color w:themeColor="accent1" w:themeShade="7f" w:val="243F60"/>
    </w:rPr>
  </w:style>
  <w:style w:type="paragraph" w:styleId="Heading7">
    <w:name w:val="heading 7"/>
    <w:basedOn w:val="Normal"/>
    <w:next w:val="Normal"/>
    <w:link w:val="Heading7Char"/>
    <w:uiPriority w:val="9"/>
    <w:semiHidden/>
    <w:unhideWhenUsed/>
    <w:qFormat/>
    <w:rsid w:val="00fc693f"/>
    <w:pPr>
      <w:keepNext w:val="true"/>
      <w:keepLines/>
      <w:spacing w:before="200" w:after="0"/>
      <w:outlineLvl w:val="6"/>
    </w:pPr>
    <w:rPr>
      <w:rFonts w:ascii="Arial" w:hAnsi="Arial" w:eastAsia="Arial" w:cs="Arial"/>
      <w:i/>
      <w:iCs/>
      <w:color w:themeColor="text1" w:themeTint="bf" w:val="404040"/>
    </w:rPr>
  </w:style>
  <w:style w:type="paragraph" w:styleId="Heading8">
    <w:name w:val="heading 8"/>
    <w:basedOn w:val="Normal"/>
    <w:next w:val="Normal"/>
    <w:link w:val="Heading8Char"/>
    <w:uiPriority w:val="9"/>
    <w:semiHidden/>
    <w:unhideWhenUsed/>
    <w:qFormat/>
    <w:rsid w:val="00fc693f"/>
    <w:pPr>
      <w:keepNext w:val="true"/>
      <w:keepLines/>
      <w:spacing w:before="200" w:after="0"/>
      <w:outlineLvl w:val="7"/>
    </w:pPr>
    <w:rPr>
      <w:rFonts w:ascii="Arial" w:hAnsi="Arial" w:eastAsia="Arial" w:cs="Arial"/>
      <w:color w:themeColor="accent1" w:val="4F81BD"/>
      <w:sz w:val="20"/>
      <w:szCs w:val="20"/>
    </w:rPr>
  </w:style>
  <w:style w:type="paragraph" w:styleId="Heading9">
    <w:name w:val="heading 9"/>
    <w:basedOn w:val="Normal"/>
    <w:next w:val="Normal"/>
    <w:link w:val="Heading9Char"/>
    <w:uiPriority w:val="9"/>
    <w:semiHidden/>
    <w:unhideWhenUsed/>
    <w:qFormat/>
    <w:rsid w:val="00fc693f"/>
    <w:pPr>
      <w:keepNext w:val="true"/>
      <w:keepLines/>
      <w:spacing w:before="200" w:after="0"/>
      <w:outlineLvl w:val="8"/>
    </w:pPr>
    <w:rPr>
      <w:rFonts w:ascii="Arial" w:hAnsi="Arial" w:eastAsia="Arial" w:cs="Arial"/>
      <w:i/>
      <w:iCs/>
      <w:color w:themeColor="text1" w:themeTint="bf" w:val="404040"/>
      <w:sz w:val="20"/>
      <w:szCs w:val="20"/>
    </w:rPr>
  </w:style>
  <w:style w:type="character" w:styleId="HeaderChar" w:customStyle="1">
    <w:name w:val="Header Char"/>
    <w:basedOn w:val="DefaultParagraphFont"/>
    <w:link w:val="Header"/>
    <w:uiPriority w:val="99"/>
    <w:qFormat/>
    <w:rsid w:val="00e618bf"/>
    <w:rPr>
      <w:rFonts w:ascii="Arial" w:hAnsi="Arial" w:eastAsia="Arial" w:cs="Arial"/>
    </w:rPr>
  </w:style>
  <w:style w:type="character" w:styleId="FooterChar" w:customStyle="1">
    <w:name w:val="Footer Char"/>
    <w:basedOn w:val="DefaultParagraphFont"/>
    <w:link w:val="Footer"/>
    <w:uiPriority w:val="99"/>
    <w:qFormat/>
    <w:rsid w:val="00e618bf"/>
    <w:rPr>
      <w:rFonts w:ascii="Arial" w:hAnsi="Arial" w:eastAsia="Arial" w:cs="Arial"/>
    </w:rPr>
  </w:style>
  <w:style w:type="character" w:styleId="DefaultParagraphFont" w:default="1">
    <w:name w:val="Default Paragraph Font"/>
    <w:uiPriority w:val="1"/>
    <w:semiHidden/>
    <w:unhideWhenUsed/>
    <w:qFormat/>
    <w:rPr>
      <w:rFonts w:ascii="Georgia" w:hAnsi="Georgia" w:eastAsia="Georgia" w:cs="Georgia"/>
    </w:rPr>
  </w:style>
  <w:style w:type="character" w:styleId="Heading1Char" w:customStyle="1">
    <w:name w:val="Heading 1 Char"/>
    <w:basedOn w:val="DefaultParagraphFont"/>
    <w:link w:val="Heading1"/>
    <w:uiPriority w:val="9"/>
    <w:qFormat/>
    <w:rsid w:val="00fc693f"/>
    <w:rPr>
      <w:rFonts w:ascii="Arial" w:hAnsi="Arial" w:eastAsia="Arial" w:cs="Arial"/>
      <w:b/>
      <w:bCs/>
      <w:color w:themeColor="accent1" w:themeShade="bf" w:val="365F91"/>
      <w:sz w:val="28"/>
      <w:szCs w:val="28"/>
    </w:rPr>
  </w:style>
  <w:style w:type="character" w:styleId="Heading2Char" w:customStyle="1">
    <w:name w:val="Heading 2 Char"/>
    <w:basedOn w:val="DefaultParagraphFont"/>
    <w:link w:val="Heading2"/>
    <w:uiPriority w:val="9"/>
    <w:qFormat/>
    <w:rsid w:val="00fc693f"/>
    <w:rPr>
      <w:rFonts w:ascii="Arial" w:hAnsi="Arial" w:eastAsia="Arial" w:cs="Arial"/>
      <w:b/>
      <w:bCs/>
      <w:color w:themeColor="accent1" w:val="4F81BD"/>
      <w:sz w:val="26"/>
      <w:szCs w:val="26"/>
    </w:rPr>
  </w:style>
  <w:style w:type="character" w:styleId="Heading3Char" w:customStyle="1">
    <w:name w:val="Heading 3 Char"/>
    <w:basedOn w:val="DefaultParagraphFont"/>
    <w:link w:val="Heading3"/>
    <w:uiPriority w:val="9"/>
    <w:qFormat/>
    <w:rsid w:val="00fc693f"/>
    <w:rPr>
      <w:rFonts w:ascii="Arial" w:hAnsi="Arial" w:eastAsia="Arial" w:cs="Arial"/>
      <w:b/>
      <w:bCs/>
      <w:color w:themeColor="accent1" w:val="4F81BD"/>
    </w:rPr>
  </w:style>
  <w:style w:type="character" w:styleId="TitleChar" w:customStyle="1">
    <w:name w:val="Title Char"/>
    <w:basedOn w:val="DefaultParagraphFont"/>
    <w:link w:val="Title"/>
    <w:uiPriority w:val="10"/>
    <w:qFormat/>
    <w:rsid w:val="00fc693f"/>
    <w:rPr>
      <w:rFonts w:ascii="Arial" w:hAnsi="Arial" w:eastAsia="Arial" w:cs="Arial"/>
      <w:color w:themeColor="text2" w:themeShade="bf" w:val="17365D"/>
      <w:spacing w:val="5"/>
      <w:kern w:val="2"/>
      <w:sz w:val="52"/>
      <w:szCs w:val="52"/>
    </w:rPr>
  </w:style>
  <w:style w:type="character" w:styleId="SubtitleChar" w:customStyle="1">
    <w:name w:val="Subtitle Char"/>
    <w:basedOn w:val="DefaultParagraphFont"/>
    <w:link w:val="Subtitle"/>
    <w:uiPriority w:val="11"/>
    <w:qFormat/>
    <w:rsid w:val="00fc693f"/>
    <w:rPr>
      <w:rFonts w:ascii="Georgia" w:hAnsi="Georgia" w:eastAsia="Georgia" w:cs="Georgia"/>
      <w:i/>
      <w:iCs/>
      <w:color w:themeColor="accent1" w:val="4F81BD"/>
      <w:spacing w:val="15"/>
      <w:sz w:val="24"/>
      <w:szCs w:val="24"/>
    </w:rPr>
  </w:style>
  <w:style w:type="character" w:styleId="BodyTextChar" w:customStyle="1">
    <w:name w:val="Body Text Char"/>
    <w:basedOn w:val="DefaultParagraphFont"/>
    <w:uiPriority w:val="99"/>
    <w:qFormat/>
    <w:rsid w:val="00aa1d8d"/>
    <w:rPr>
      <w:rFonts w:ascii="Georgia" w:hAnsi="Georgia" w:eastAsia="Georgia" w:cs="Georgia"/>
    </w:rPr>
  </w:style>
  <w:style w:type="character" w:styleId="BodyText2Char" w:customStyle="1">
    <w:name w:val="Body Text 2 Char"/>
    <w:basedOn w:val="DefaultParagraphFont"/>
    <w:link w:val="BodyText2"/>
    <w:uiPriority w:val="99"/>
    <w:qFormat/>
    <w:rsid w:val="00aa1d8d"/>
    <w:rPr>
      <w:rFonts w:ascii="Georgia" w:hAnsi="Georgia" w:eastAsia="Georgia" w:cs="Georgia"/>
    </w:rPr>
  </w:style>
  <w:style w:type="character" w:styleId="BodyText3Char" w:customStyle="1">
    <w:name w:val="Body Text 3 Char"/>
    <w:basedOn w:val="DefaultParagraphFont"/>
    <w:link w:val="BodyText3"/>
    <w:uiPriority w:val="99"/>
    <w:qFormat/>
    <w:rsid w:val="00aa1d8d"/>
    <w:rPr>
      <w:rFonts w:ascii="Georgia" w:hAnsi="Georgia" w:eastAsia="Georgia" w:cs="Georgia"/>
      <w:sz w:val="16"/>
      <w:szCs w:val="16"/>
    </w:rPr>
  </w:style>
  <w:style w:type="character" w:styleId="MacroTextChar" w:customStyle="1">
    <w:name w:val="Macro Text Char"/>
    <w:basedOn w:val="DefaultParagraphFont"/>
    <w:link w:val="MacroText"/>
    <w:uiPriority w:val="99"/>
    <w:qFormat/>
    <w:rsid w:val="0029639d"/>
    <w:rPr>
      <w:rFonts w:ascii="Georgia" w:hAnsi="Georgia" w:eastAsia="Georgia" w:cs="Georgia"/>
      <w:sz w:val="20"/>
      <w:szCs w:val="20"/>
    </w:rPr>
  </w:style>
  <w:style w:type="character" w:styleId="QuoteChar" w:customStyle="1">
    <w:name w:val="Quote Char"/>
    <w:basedOn w:val="DefaultParagraphFont"/>
    <w:link w:val="Quote"/>
    <w:uiPriority w:val="29"/>
    <w:qFormat/>
    <w:rsid w:val="00fc693f"/>
    <w:rPr>
      <w:rFonts w:ascii="Georgia" w:hAnsi="Georgia" w:eastAsia="Georgia" w:cs="Georgia"/>
      <w:i/>
      <w:iCs/>
      <w:color w:themeColor="text1" w:val="000000"/>
    </w:rPr>
  </w:style>
  <w:style w:type="character" w:styleId="Heading4Char" w:customStyle="1">
    <w:name w:val="Heading 4 Char"/>
    <w:basedOn w:val="DefaultParagraphFont"/>
    <w:link w:val="Heading4"/>
    <w:uiPriority w:val="9"/>
    <w:semiHidden/>
    <w:qFormat/>
    <w:rsid w:val="00fc693f"/>
    <w:rPr>
      <w:rFonts w:ascii="Arial" w:hAnsi="Arial" w:eastAsia="Arial" w:cs="Arial"/>
      <w:b/>
      <w:bCs/>
      <w:i/>
      <w:iCs/>
      <w:color w:themeColor="accent1" w:val="4F81BD"/>
    </w:rPr>
  </w:style>
  <w:style w:type="character" w:styleId="Heading5Char" w:customStyle="1">
    <w:name w:val="Heading 5 Char"/>
    <w:basedOn w:val="DefaultParagraphFont"/>
    <w:link w:val="Heading5"/>
    <w:uiPriority w:val="9"/>
    <w:semiHidden/>
    <w:qFormat/>
    <w:rsid w:val="00fc693f"/>
    <w:rPr>
      <w:rFonts w:ascii="Arial" w:hAnsi="Arial" w:eastAsia="Arial" w:cs="Arial"/>
      <w:color w:themeColor="accent1" w:themeShade="7f" w:val="243F60"/>
    </w:rPr>
  </w:style>
  <w:style w:type="character" w:styleId="Heading6Char" w:customStyle="1">
    <w:name w:val="Heading 6 Char"/>
    <w:basedOn w:val="DefaultParagraphFont"/>
    <w:link w:val="Heading6"/>
    <w:uiPriority w:val="9"/>
    <w:semiHidden/>
    <w:qFormat/>
    <w:rsid w:val="00fc693f"/>
    <w:rPr>
      <w:rFonts w:ascii="Arial" w:hAnsi="Arial" w:eastAsia="Arial" w:cs="Arial"/>
      <w:i/>
      <w:iCs/>
      <w:color w:themeColor="accent1" w:themeShade="7f" w:val="243F60"/>
    </w:rPr>
  </w:style>
  <w:style w:type="character" w:styleId="Heading7Char" w:customStyle="1">
    <w:name w:val="Heading 7 Char"/>
    <w:basedOn w:val="DefaultParagraphFont"/>
    <w:link w:val="Heading7"/>
    <w:uiPriority w:val="9"/>
    <w:semiHidden/>
    <w:qFormat/>
    <w:rsid w:val="00fc693f"/>
    <w:rPr>
      <w:rFonts w:ascii="Arial" w:hAnsi="Arial" w:eastAsia="Arial" w:cs="Arial"/>
      <w:i/>
      <w:iCs/>
      <w:color w:themeColor="text1" w:themeTint="bf" w:val="404040"/>
    </w:rPr>
  </w:style>
  <w:style w:type="character" w:styleId="Heading8Char" w:customStyle="1">
    <w:name w:val="Heading 8 Char"/>
    <w:basedOn w:val="DefaultParagraphFont"/>
    <w:link w:val="Heading8"/>
    <w:uiPriority w:val="9"/>
    <w:semiHidden/>
    <w:qFormat/>
    <w:rsid w:val="00fc693f"/>
    <w:rPr>
      <w:rFonts w:ascii="Arial" w:hAnsi="Arial" w:eastAsia="Arial" w:cs="Arial"/>
      <w:color w:themeColor="accent1" w:val="4F81BD"/>
      <w:sz w:val="20"/>
      <w:szCs w:val="20"/>
    </w:rPr>
  </w:style>
  <w:style w:type="character" w:styleId="Heading9Char" w:customStyle="1">
    <w:name w:val="Heading 9 Char"/>
    <w:basedOn w:val="DefaultParagraphFont"/>
    <w:link w:val="Heading9"/>
    <w:uiPriority w:val="9"/>
    <w:semiHidden/>
    <w:qFormat/>
    <w:rsid w:val="00fc693f"/>
    <w:rPr>
      <w:rFonts w:ascii="Arial" w:hAnsi="Arial" w:eastAsia="Arial" w:cs="Arial"/>
      <w:i/>
      <w:iCs/>
      <w:color w:themeColor="text1" w:themeTint="bf" w:val="404040"/>
      <w:sz w:val="20"/>
      <w:szCs w:val="20"/>
    </w:rPr>
  </w:style>
  <w:style w:type="character" w:styleId="Strong">
    <w:name w:val="Strong"/>
    <w:basedOn w:val="DefaultParagraphFont"/>
    <w:uiPriority w:val="22"/>
    <w:qFormat/>
    <w:rsid w:val="00fc693f"/>
    <w:rPr>
      <w:rFonts w:ascii="Georgia" w:hAnsi="Georgia" w:eastAsia="Georgia" w:cs="Georgia"/>
      <w:b/>
      <w:bCs/>
    </w:rPr>
  </w:style>
  <w:style w:type="character" w:styleId="Emphasis">
    <w:name w:val="Emphasis"/>
    <w:basedOn w:val="DefaultParagraphFont"/>
    <w:uiPriority w:val="20"/>
    <w:qFormat/>
    <w:rsid w:val="00fc693f"/>
    <w:rPr>
      <w:rFonts w:ascii="Georgia" w:hAnsi="Georgia" w:eastAsia="Georgia" w:cs="Georgia"/>
      <w:i/>
      <w:iCs/>
    </w:rPr>
  </w:style>
  <w:style w:type="character" w:styleId="IntenseQuoteChar" w:customStyle="1">
    <w:name w:val="Intense Quote Char"/>
    <w:basedOn w:val="DefaultParagraphFont"/>
    <w:link w:val="IntenseQuote"/>
    <w:uiPriority w:val="30"/>
    <w:qFormat/>
    <w:rsid w:val="00fc693f"/>
    <w:rPr>
      <w:rFonts w:ascii="Georgia" w:hAnsi="Georgia" w:eastAsia="Georgia" w:cs="Georgia"/>
      <w:b/>
      <w:bCs/>
      <w:i/>
      <w:iCs/>
      <w:color w:themeColor="accent1" w:val="4F81BD"/>
    </w:rPr>
  </w:style>
  <w:style w:type="character" w:styleId="SubtleEmphasis">
    <w:name w:val="Subtle Emphasis"/>
    <w:basedOn w:val="DefaultParagraphFont"/>
    <w:uiPriority w:val="19"/>
    <w:qFormat/>
    <w:rsid w:val="00fc693f"/>
    <w:rPr>
      <w:rFonts w:ascii="Georgia" w:hAnsi="Georgia" w:eastAsia="Georgia" w:cs="Georgia"/>
      <w:i/>
      <w:iCs/>
      <w:color w:themeColor="text1" w:themeTint="7f" w:val="808080"/>
    </w:rPr>
  </w:style>
  <w:style w:type="character" w:styleId="IntenseEmphasis">
    <w:name w:val="Intense Emphasis"/>
    <w:basedOn w:val="DefaultParagraphFont"/>
    <w:uiPriority w:val="21"/>
    <w:qFormat/>
    <w:rsid w:val="00fc693f"/>
    <w:rPr>
      <w:rFonts w:ascii="Georgia" w:hAnsi="Georgia" w:eastAsia="Georgia" w:cs="Georgia"/>
      <w:b/>
      <w:bCs/>
      <w:i/>
      <w:iCs/>
      <w:color w:themeColor="accent1" w:val="4F81BD"/>
    </w:rPr>
  </w:style>
  <w:style w:type="character" w:styleId="SubtleReference">
    <w:name w:val="Subtle Reference"/>
    <w:basedOn w:val="DefaultParagraphFont"/>
    <w:uiPriority w:val="31"/>
    <w:qFormat/>
    <w:rsid w:val="00fc693f"/>
    <w:rPr>
      <w:rFonts w:ascii="Georgia" w:hAnsi="Georgia" w:eastAsia="Georgia" w:cs="Georgia"/>
      <w:smallCaps/>
      <w:color w:themeColor="accent2" w:val="C0504D"/>
      <w:u w:val="single"/>
    </w:rPr>
  </w:style>
  <w:style w:type="character" w:styleId="IntenseReference">
    <w:name w:val="Intense Reference"/>
    <w:basedOn w:val="DefaultParagraphFont"/>
    <w:uiPriority w:val="32"/>
    <w:qFormat/>
    <w:rsid w:val="00fc693f"/>
    <w:rPr>
      <w:rFonts w:ascii="Georgia" w:hAnsi="Georgia" w:eastAsia="Georgia" w:cs="Georgia"/>
      <w:b/>
      <w:bCs/>
      <w:smallCaps/>
      <w:color w:themeColor="accent2" w:val="C0504D"/>
      <w:spacing w:val="5"/>
      <w:u w:val="single"/>
    </w:rPr>
  </w:style>
  <w:style w:type="character" w:styleId="BookTitle">
    <w:name w:val="Book Title"/>
    <w:basedOn w:val="DefaultParagraphFont"/>
    <w:uiPriority w:val="33"/>
    <w:qFormat/>
    <w:rsid w:val="00fc693f"/>
    <w:rPr>
      <w:rFonts w:ascii="Arial" w:hAnsi="Arial" w:eastAsia="Arial" w:cs="Arial"/>
      <w:b/>
      <w:bCs/>
      <w:smallCaps/>
      <w:spacing w:val="5"/>
    </w:rPr>
  </w:style>
  <w:style w:type="character" w:styleId="FootnoteCharactersuser">
    <w:name w:val="Footnote Characters (user)"/>
    <w:qFormat/>
    <w:rPr>
      <w:rFonts w:ascii="Arial" w:hAnsi="Arial" w:eastAsia="Arial" w:cs="Arial"/>
      <w:b/>
      <w:color w:val="3092B1"/>
      <w:sz w:val="18"/>
      <w:vertAlign w:val="superscript"/>
    </w:rPr>
  </w:style>
  <w:style w:type="character" w:styleId="FootnoteCharacters">
    <w:name w:val="Footnote Characters"/>
    <w:qFormat/>
    <w:rPr>
      <w:rFonts w:ascii="Arial" w:hAnsi="Arial" w:eastAsia="Arial" w:cs="Arial"/>
      <w:b/>
      <w:color w:val="3092B1"/>
      <w:sz w:val="18"/>
      <w:vertAlign w:val="superscript"/>
    </w:rPr>
  </w:style>
  <w:style w:type="character" w:styleId="FootnoteReference">
    <w:name w:val="footnote reference"/>
    <w:rPr>
      <w:rFonts w:ascii="Arial" w:hAnsi="Arial" w:eastAsia="Arial" w:cs="Arial"/>
      <w:b/>
      <w:color w:val="3092B1"/>
      <w:sz w:val="18"/>
      <w:vertAlign w:val="superscript"/>
    </w:rPr>
  </w:style>
  <w:style w:type="character" w:styleId="InstatsVerdictTrue" w:customStyle="1">
    <w:name w:val="InstatsVerdictTrue"/>
    <w:qFormat/>
    <w:rPr>
      <w:rFonts w:ascii="Arial" w:hAnsi="Arial" w:eastAsia="Arial" w:cs="Arial"/>
      <w:b/>
      <w:color w:val="1F6E47"/>
      <w:sz w:val="18"/>
      <w:shd w:fill="E2EEE7" w:val="clear"/>
    </w:rPr>
  </w:style>
  <w:style w:type="character" w:styleId="InstatsVerdictMixed" w:customStyle="1">
    <w:name w:val="InstatsVerdictMixed"/>
    <w:qFormat/>
    <w:rPr>
      <w:rFonts w:ascii="Arial" w:hAnsi="Arial" w:eastAsia="Arial" w:cs="Arial"/>
      <w:b/>
      <w:color w:val="8C5A12"/>
      <w:sz w:val="18"/>
      <w:shd w:fill="EEDFC2" w:val="clear"/>
    </w:rPr>
  </w:style>
  <w:style w:type="character" w:styleId="InstatsVerdictFalse" w:customStyle="1">
    <w:name w:val="InstatsVerdictFalse"/>
    <w:qFormat/>
    <w:rPr>
      <w:rFonts w:ascii="Arial" w:hAnsi="Arial" w:eastAsia="Arial" w:cs="Arial"/>
      <w:b/>
      <w:color w:val="963A2C"/>
      <w:sz w:val="18"/>
      <w:shd w:fill="F1D1CC" w:val="clear"/>
    </w:rPr>
  </w:style>
  <w:style w:type="character" w:styleId="InstatsVerdictDecomposed" w:customStyle="1">
    <w:name w:val="InstatsVerdictDecomposed"/>
    <w:qFormat/>
    <w:rPr>
      <w:rFonts w:ascii="Arial" w:hAnsi="Arial" w:eastAsia="Arial" w:cs="Arial"/>
      <w:b/>
      <w:color w:val="00547B"/>
      <w:sz w:val="18"/>
      <w:shd w:fill="D0E4EB" w:val="clear"/>
    </w:rPr>
  </w:style>
  <w:style w:type="character" w:styleId="Hyperlink" w:customStyle="1">
    <w:name w:val="Hyperlink"/>
    <w:rPr>
      <w:rFonts w:ascii="Georgia" w:hAnsi="Georgia" w:eastAsia="Georgia" w:cs="Georgia"/>
      <w:color w:val="3092B1"/>
      <w:u w:val="single"/>
    </w:rPr>
  </w:style>
  <w:style w:type="character" w:styleId="VerbatimChar" w:customStyle="1">
    <w:name w:val="VerbatimChar"/>
    <w:qFormat/>
    <w:rPr>
      <w:rFonts w:ascii="Courier New" w:hAnsi="Courier New" w:eastAsia="Courier New" w:cs="Courier New"/>
      <w:color w:val="212529"/>
      <w:sz w:val="20"/>
    </w:rPr>
  </w:style>
  <w:style w:type="character" w:styleId="KeywordTok" w:customStyle="1">
    <w:name w:val="KeywordTok"/>
    <w:basedOn w:val="VerbatimChar"/>
    <w:qFormat/>
    <w:rPr>
      <w:rFonts w:ascii="Georgia" w:hAnsi="Georgia" w:eastAsia="Georgia" w:cs="Georgia"/>
      <w:b/>
      <w:color w:val="007020"/>
    </w:rPr>
  </w:style>
  <w:style w:type="character" w:styleId="DataTypeTok" w:customStyle="1">
    <w:name w:val="DataTypeTok"/>
    <w:basedOn w:val="VerbatimChar"/>
    <w:qFormat/>
    <w:rPr>
      <w:rFonts w:ascii="Georgia" w:hAnsi="Georgia" w:eastAsia="Georgia" w:cs="Georgia"/>
      <w:color w:val="902000"/>
    </w:rPr>
  </w:style>
  <w:style w:type="character" w:styleId="DecValTok" w:customStyle="1">
    <w:name w:val="DecValTok"/>
    <w:basedOn w:val="VerbatimChar"/>
    <w:qFormat/>
    <w:rPr>
      <w:rFonts w:ascii="Georgia" w:hAnsi="Georgia" w:eastAsia="Georgia" w:cs="Georgia"/>
      <w:color w:val="40A070"/>
    </w:rPr>
  </w:style>
  <w:style w:type="character" w:styleId="BaseNTok" w:customStyle="1">
    <w:name w:val="BaseNTok"/>
    <w:basedOn w:val="VerbatimChar"/>
    <w:qFormat/>
    <w:rPr>
      <w:rFonts w:ascii="Georgia" w:hAnsi="Georgia" w:eastAsia="Georgia" w:cs="Georgia"/>
      <w:color w:val="40A070"/>
    </w:rPr>
  </w:style>
  <w:style w:type="character" w:styleId="FloatTok" w:customStyle="1">
    <w:name w:val="FloatTok"/>
    <w:basedOn w:val="VerbatimChar"/>
    <w:qFormat/>
    <w:rPr>
      <w:rFonts w:ascii="Georgia" w:hAnsi="Georgia" w:eastAsia="Georgia" w:cs="Georgia"/>
      <w:color w:val="40A070"/>
    </w:rPr>
  </w:style>
  <w:style w:type="character" w:styleId="ConstantTok" w:customStyle="1">
    <w:name w:val="ConstantTok"/>
    <w:basedOn w:val="VerbatimChar"/>
    <w:qFormat/>
    <w:rPr>
      <w:rFonts w:ascii="Georgia" w:hAnsi="Georgia" w:eastAsia="Georgia" w:cs="Georgia"/>
      <w:color w:val="880000"/>
    </w:rPr>
  </w:style>
  <w:style w:type="character" w:styleId="CharTok" w:customStyle="1">
    <w:name w:val="CharTok"/>
    <w:basedOn w:val="VerbatimChar"/>
    <w:qFormat/>
    <w:rPr>
      <w:rFonts w:ascii="Georgia" w:hAnsi="Georgia" w:eastAsia="Georgia" w:cs="Georgia"/>
      <w:color w:val="4070A0"/>
    </w:rPr>
  </w:style>
  <w:style w:type="character" w:styleId="SpecialCharTok" w:customStyle="1">
    <w:name w:val="SpecialCharTok"/>
    <w:basedOn w:val="VerbatimChar"/>
    <w:qFormat/>
    <w:rPr>
      <w:rFonts w:ascii="Georgia" w:hAnsi="Georgia" w:eastAsia="Georgia" w:cs="Georgia"/>
      <w:color w:val="4070A0"/>
    </w:rPr>
  </w:style>
  <w:style w:type="character" w:styleId="StringTok" w:customStyle="1">
    <w:name w:val="StringTok"/>
    <w:basedOn w:val="VerbatimChar"/>
    <w:qFormat/>
    <w:rPr>
      <w:rFonts w:ascii="Georgia" w:hAnsi="Georgia" w:eastAsia="Georgia" w:cs="Georgia"/>
      <w:color w:val="4070A0"/>
    </w:rPr>
  </w:style>
  <w:style w:type="character" w:styleId="VerbatimStringTok" w:customStyle="1">
    <w:name w:val="VerbatimStringTok"/>
    <w:basedOn w:val="VerbatimChar"/>
    <w:qFormat/>
    <w:rPr>
      <w:rFonts w:ascii="Courier New" w:hAnsi="Courier New" w:eastAsia="Courier New" w:cs="Courier New"/>
      <w:color w:val="4070A0"/>
    </w:rPr>
  </w:style>
  <w:style w:type="character" w:styleId="SpecialStringTok" w:customStyle="1">
    <w:name w:val="SpecialStringTok"/>
    <w:basedOn w:val="VerbatimChar"/>
    <w:qFormat/>
    <w:rPr>
      <w:rFonts w:ascii="Georgia" w:hAnsi="Georgia" w:eastAsia="Georgia" w:cs="Georgia"/>
      <w:color w:val="BB6688"/>
    </w:rPr>
  </w:style>
  <w:style w:type="character" w:styleId="ImportTok" w:customStyle="1">
    <w:name w:val="ImportTok"/>
    <w:basedOn w:val="VerbatimChar"/>
    <w:qFormat/>
    <w:rPr>
      <w:rFonts w:ascii="Georgia" w:hAnsi="Georgia" w:eastAsia="Georgia" w:cs="Georgia"/>
      <w:b/>
      <w:color w:val="008000"/>
    </w:rPr>
  </w:style>
  <w:style w:type="character" w:styleId="CommentTok" w:customStyle="1">
    <w:name w:val="CommentTok"/>
    <w:basedOn w:val="VerbatimChar"/>
    <w:qFormat/>
    <w:rPr>
      <w:rFonts w:ascii="Georgia" w:hAnsi="Georgia" w:eastAsia="Georgia" w:cs="Georgia"/>
      <w:i/>
      <w:color w:val="60A0B0"/>
    </w:rPr>
  </w:style>
  <w:style w:type="character" w:styleId="DocumentationTok" w:customStyle="1">
    <w:name w:val="DocumentationTok"/>
    <w:basedOn w:val="VerbatimChar"/>
    <w:qFormat/>
    <w:rPr>
      <w:rFonts w:ascii="Georgia" w:hAnsi="Georgia" w:eastAsia="Georgia" w:cs="Georgia"/>
      <w:i/>
      <w:color w:val="BA2121"/>
    </w:rPr>
  </w:style>
  <w:style w:type="character" w:styleId="AnnotationTok" w:customStyle="1">
    <w:name w:val="AnnotationTok"/>
    <w:basedOn w:val="VerbatimChar"/>
    <w:qFormat/>
    <w:rPr>
      <w:rFonts w:ascii="Georgia" w:hAnsi="Georgia" w:eastAsia="Georgia" w:cs="Georgia"/>
      <w:b/>
      <w:i/>
      <w:color w:val="60A0B0"/>
    </w:rPr>
  </w:style>
  <w:style w:type="character" w:styleId="CommentVarTok" w:customStyle="1">
    <w:name w:val="CommentVarTok"/>
    <w:basedOn w:val="VerbatimChar"/>
    <w:qFormat/>
    <w:rPr>
      <w:rFonts w:ascii="Georgia" w:hAnsi="Georgia" w:eastAsia="Georgia" w:cs="Georgia"/>
      <w:b/>
      <w:i/>
      <w:color w:val="60A0B0"/>
    </w:rPr>
  </w:style>
  <w:style w:type="character" w:styleId="OtherTok" w:customStyle="1">
    <w:name w:val="OtherTok"/>
    <w:basedOn w:val="VerbatimChar"/>
    <w:qFormat/>
    <w:rPr>
      <w:rFonts w:ascii="Georgia" w:hAnsi="Georgia" w:eastAsia="Georgia" w:cs="Georgia"/>
      <w:color w:val="007020"/>
    </w:rPr>
  </w:style>
  <w:style w:type="character" w:styleId="FunctionTok" w:customStyle="1">
    <w:name w:val="FunctionTok"/>
    <w:basedOn w:val="VerbatimChar"/>
    <w:qFormat/>
    <w:rPr>
      <w:rFonts w:ascii="Georgia" w:hAnsi="Georgia" w:eastAsia="Georgia" w:cs="Georgia"/>
      <w:color w:val="06287E"/>
    </w:rPr>
  </w:style>
  <w:style w:type="character" w:styleId="VariableTok" w:customStyle="1">
    <w:name w:val="VariableTok"/>
    <w:basedOn w:val="VerbatimChar"/>
    <w:qFormat/>
    <w:rPr>
      <w:rFonts w:ascii="Georgia" w:hAnsi="Georgia" w:eastAsia="Georgia" w:cs="Georgia"/>
      <w:color w:val="19177C"/>
    </w:rPr>
  </w:style>
  <w:style w:type="character" w:styleId="ControlFlowTok" w:customStyle="1">
    <w:name w:val="ControlFlowTok"/>
    <w:basedOn w:val="VerbatimChar"/>
    <w:qFormat/>
    <w:rPr>
      <w:rFonts w:ascii="Georgia" w:hAnsi="Georgia" w:eastAsia="Georgia" w:cs="Georgia"/>
      <w:b/>
      <w:color w:val="007020"/>
    </w:rPr>
  </w:style>
  <w:style w:type="character" w:styleId="OperatorTok" w:customStyle="1">
    <w:name w:val="OperatorTok"/>
    <w:basedOn w:val="VerbatimChar"/>
    <w:qFormat/>
    <w:rPr>
      <w:rFonts w:ascii="Georgia" w:hAnsi="Georgia" w:eastAsia="Georgia" w:cs="Georgia"/>
      <w:color w:val="666666"/>
    </w:rPr>
  </w:style>
  <w:style w:type="character" w:styleId="BuiltInTok" w:customStyle="1">
    <w:name w:val="BuiltInTok"/>
    <w:basedOn w:val="VerbatimChar"/>
    <w:qFormat/>
    <w:rPr>
      <w:rFonts w:ascii="Georgia" w:hAnsi="Georgia" w:eastAsia="Georgia" w:cs="Georgia"/>
      <w:color w:val="008000"/>
    </w:rPr>
  </w:style>
  <w:style w:type="character" w:styleId="ExtensionTok" w:customStyle="1">
    <w:name w:val="ExtensionTok"/>
    <w:basedOn w:val="VerbatimChar"/>
    <w:qFormat/>
    <w:rPr>
      <w:rFonts w:ascii="Georgia" w:hAnsi="Georgia" w:eastAsia="Georgia" w:cs="Georgia"/>
    </w:rPr>
  </w:style>
  <w:style w:type="character" w:styleId="PreprocessorTok" w:customStyle="1">
    <w:name w:val="PreprocessorTok"/>
    <w:basedOn w:val="VerbatimChar"/>
    <w:qFormat/>
    <w:rPr>
      <w:rFonts w:ascii="Georgia" w:hAnsi="Georgia" w:eastAsia="Georgia" w:cs="Georgia"/>
      <w:color w:val="BC7A00"/>
    </w:rPr>
  </w:style>
  <w:style w:type="character" w:styleId="AttributeTok" w:customStyle="1">
    <w:name w:val="AttributeTok"/>
    <w:basedOn w:val="VerbatimChar"/>
    <w:qFormat/>
    <w:rPr>
      <w:rFonts w:ascii="Georgia" w:hAnsi="Georgia" w:eastAsia="Georgia" w:cs="Georgia"/>
      <w:color w:val="7D9029"/>
    </w:rPr>
  </w:style>
  <w:style w:type="character" w:styleId="RegionMarkerTok" w:customStyle="1">
    <w:name w:val="RegionMarkerTok"/>
    <w:basedOn w:val="VerbatimChar"/>
    <w:qFormat/>
    <w:rPr>
      <w:rFonts w:ascii="Georgia" w:hAnsi="Georgia" w:eastAsia="Georgia" w:cs="Georgia"/>
    </w:rPr>
  </w:style>
  <w:style w:type="character" w:styleId="InformationTok" w:customStyle="1">
    <w:name w:val="InformationTok"/>
    <w:basedOn w:val="VerbatimChar"/>
    <w:qFormat/>
    <w:rPr>
      <w:rFonts w:ascii="Georgia" w:hAnsi="Georgia" w:eastAsia="Georgia" w:cs="Georgia"/>
      <w:b/>
      <w:i/>
      <w:color w:val="60A0B0"/>
    </w:rPr>
  </w:style>
  <w:style w:type="character" w:styleId="WarningTok" w:customStyle="1">
    <w:name w:val="WarningTok"/>
    <w:basedOn w:val="VerbatimChar"/>
    <w:qFormat/>
    <w:rPr>
      <w:rFonts w:ascii="Georgia" w:hAnsi="Georgia" w:eastAsia="Georgia" w:cs="Georgia"/>
      <w:b/>
      <w:i/>
      <w:color w:val="60A0B0"/>
    </w:rPr>
  </w:style>
  <w:style w:type="character" w:styleId="AlertTok" w:customStyle="1">
    <w:name w:val="AlertTok"/>
    <w:basedOn w:val="VerbatimChar"/>
    <w:qFormat/>
    <w:rPr>
      <w:rFonts w:ascii="Georgia" w:hAnsi="Georgia" w:eastAsia="Georgia" w:cs="Georgia"/>
      <w:b/>
      <w:color w:val="FF0000"/>
    </w:rPr>
  </w:style>
  <w:style w:type="character" w:styleId="ErrorTok" w:customStyle="1">
    <w:name w:val="ErrorTok"/>
    <w:basedOn w:val="VerbatimChar"/>
    <w:qFormat/>
    <w:rPr>
      <w:rFonts w:ascii="Georgia" w:hAnsi="Georgia" w:eastAsia="Georgia" w:cs="Georgia"/>
      <w:b/>
      <w:color w:val="FF0000"/>
    </w:rPr>
  </w:style>
  <w:style w:type="character" w:styleId="NormalTok" w:customStyle="1">
    <w:name w:val="NormalTok"/>
    <w:basedOn w:val="VerbatimChar"/>
    <w:qFormat/>
    <w:rPr>
      <w:rFonts w:ascii="Georgia" w:hAnsi="Georgia" w:eastAsia="Georgia" w:cs="Georgia"/>
    </w:rPr>
  </w:style>
  <w:style w:type="paragraph" w:styleId="Heading">
    <w:name w:val="Heading"/>
    <w:basedOn w:val="Normal"/>
    <w:next w:val="BodyText"/>
    <w:qFormat/>
    <w:pPr>
      <w:keepNext w:val="true"/>
      <w:spacing w:before="240" w:after="120"/>
    </w:pPr>
    <w:rPr>
      <w:rFonts w:ascii="Arial" w:hAnsi="Arial" w:eastAsia="Arial" w:cs="Arial"/>
      <w:sz w:val="28"/>
      <w:szCs w:val="28"/>
    </w:rPr>
  </w:style>
  <w:style w:type="paragraph" w:styleId="BodyText">
    <w:name w:val="Body Text"/>
    <w:basedOn w:val="Normal"/>
    <w:link w:val="BodyTextChar"/>
    <w:uiPriority w:val="99"/>
    <w:unhideWhenUsed/>
    <w:rsid w:val="00aa1d8d"/>
    <w:pPr>
      <w:spacing w:lineRule="auto" w:line="348" w:before="0" w:after="160"/>
    </w:pPr>
    <w:rPr>
      <w:rFonts w:ascii="Georgia" w:hAnsi="Georgia" w:eastAsia="Georgia" w:cs="Georgia"/>
      <w:color w:val="212529"/>
      <w:sz w:val="24"/>
    </w:rPr>
  </w:style>
  <w:style w:type="paragraph" w:styleId="List">
    <w:name w:val="List"/>
    <w:basedOn w:val="Normal"/>
    <w:uiPriority w:val="99"/>
    <w:unhideWhenUsed/>
    <w:rsid w:val="00aa1d8d"/>
    <w:pPr>
      <w:spacing w:before="0" w:after="160"/>
      <w:ind w:hanging="360" w:start="360"/>
      <w:contextualSpacing/>
    </w:pPr>
    <w:rPr>
      <w:rFonts w:ascii="Georgia" w:hAnsi="Georgia" w:eastAsia="Georgia" w:cs="Georgia"/>
    </w:rPr>
  </w:style>
  <w:style w:type="paragraph" w:styleId="Caption">
    <w:name w:val="caption"/>
    <w:basedOn w:val="Normal"/>
    <w:next w:val="Normal"/>
    <w:uiPriority w:val="35"/>
    <w:semiHidden/>
    <w:unhideWhenUsed/>
    <w:qFormat/>
    <w:rsid w:val="00fc693f"/>
    <w:pPr>
      <w:spacing w:lineRule="auto" w:line="288" w:before="40" w:after="240"/>
    </w:pPr>
    <w:rPr>
      <w:rFonts w:ascii="Arial" w:hAnsi="Arial" w:eastAsia="Arial" w:cs="Arial"/>
      <w:b/>
      <w:bCs/>
      <w:i/>
      <w:color w:val="495057"/>
      <w:sz w:val="18"/>
      <w:szCs w:val="18"/>
    </w:rPr>
  </w:style>
  <w:style w:type="paragraph" w:styleId="Index">
    <w:name w:val="Index"/>
    <w:basedOn w:val="Normal"/>
    <w:qFormat/>
    <w:pPr>
      <w:suppressLineNumbers/>
    </w:pPr>
    <w:rPr>
      <w:rFonts w:ascii="Georgia" w:hAnsi="Georgia" w:eastAsia="Georgia" w:cs="Georgia"/>
    </w:rPr>
  </w:style>
  <w:style w:type="paragraph" w:styleId="HeaderandFooter">
    <w:name w:val="Header and Footer"/>
    <w:basedOn w:val="Normal"/>
    <w:qFormat/>
    <w:pPr/>
    <w:rPr>
      <w:rFonts w:ascii="Arial" w:hAnsi="Arial" w:eastAsia="Arial" w:cs="Arial"/>
    </w:rPr>
  </w:style>
  <w:style w:type="paragraph" w:styleId="Header">
    <w:name w:val="header"/>
    <w:basedOn w:val="Normal"/>
    <w:link w:val="HeaderChar"/>
    <w:uiPriority w:val="99"/>
    <w:unhideWhenUsed/>
    <w:rsid w:val="00e618bf"/>
    <w:pPr>
      <w:tabs>
        <w:tab w:val="clear" w:pos="720"/>
        <w:tab w:val="center" w:pos="4680" w:leader="none"/>
        <w:tab w:val="right" w:pos="9360" w:leader="none"/>
      </w:tabs>
      <w:spacing w:lineRule="auto" w:line="240" w:before="0" w:after="0"/>
    </w:pPr>
    <w:rPr>
      <w:rFonts w:ascii="Arial" w:hAnsi="Arial" w:eastAsia="Arial" w:cs="Arial"/>
    </w:rPr>
  </w:style>
  <w:style w:type="paragraph" w:styleId="Footer">
    <w:name w:val="footer"/>
    <w:basedOn w:val="Normal"/>
    <w:link w:val="FooterChar"/>
    <w:uiPriority w:val="99"/>
    <w:unhideWhenUsed/>
    <w:rsid w:val="00e618bf"/>
    <w:pPr>
      <w:tabs>
        <w:tab w:val="clear" w:pos="720"/>
        <w:tab w:val="center" w:pos="4680" w:leader="none"/>
        <w:tab w:val="right" w:pos="9360" w:leader="none"/>
      </w:tabs>
      <w:spacing w:lineRule="auto" w:line="240" w:before="0" w:after="0"/>
    </w:pPr>
    <w:rPr>
      <w:rFonts w:ascii="Arial" w:hAnsi="Arial" w:eastAsia="Arial" w:cs="Arial"/>
    </w:rPr>
  </w:style>
  <w:style w:type="paragraph" w:styleId="NoSpacing">
    <w:name w:val="No Spacing"/>
    <w:uiPriority w:val="1"/>
    <w:qFormat/>
    <w:rsid w:val="00fc693f"/>
    <w:pPr>
      <w:widowControl/>
      <w:suppressAutoHyphens w:val="true"/>
      <w:bidi w:val="0"/>
      <w:spacing w:lineRule="auto" w:line="240" w:before="0" w:after="0"/>
      <w:jc w:val="start"/>
    </w:pPr>
    <w:rPr>
      <w:rFonts w:ascii="Georgia" w:hAnsi="Georgia" w:eastAsia="Georgia" w:cs="Georgia"/>
      <w:color w:val="auto"/>
      <w:kern w:val="0"/>
      <w:sz w:val="22"/>
      <w:szCs w:val="22"/>
      <w:lang w:val="en-US" w:eastAsia="en-US" w:bidi="ar-SA"/>
    </w:rPr>
  </w:style>
  <w:style w:type="paragraph" w:styleId="Title">
    <w:name w:val="Title"/>
    <w:basedOn w:val="Normal"/>
    <w:next w:val="Normal"/>
    <w:link w:val="TitleChar"/>
    <w:uiPriority w:val="10"/>
    <w:qFormat/>
    <w:rsid w:val="00fc693f"/>
    <w:pPr>
      <w:pBdr>
        <w:bottom w:val="single" w:sz="8" w:space="4" w:color="4F81BD" w:themeColor="accent1"/>
      </w:pBdr>
      <w:spacing w:lineRule="auto" w:line="240" w:before="0" w:after="300"/>
      <w:contextualSpacing/>
    </w:pPr>
    <w:rPr>
      <w:rFonts w:ascii="Arial" w:hAnsi="Arial" w:eastAsia="Arial" w:cs="Arial"/>
      <w:color w:themeColor="text2" w:themeShade="bf" w:val="17365D"/>
      <w:spacing w:val="5"/>
      <w:kern w:val="2"/>
      <w:sz w:val="52"/>
      <w:szCs w:val="52"/>
    </w:rPr>
  </w:style>
  <w:style w:type="paragraph" w:styleId="Subtitle">
    <w:name w:val="Subtitle"/>
    <w:basedOn w:val="Normal"/>
    <w:next w:val="Normal"/>
    <w:link w:val="SubtitleChar"/>
    <w:uiPriority w:val="11"/>
    <w:qFormat/>
    <w:rsid w:val="00fc693f"/>
    <w:pPr/>
    <w:rPr>
      <w:rFonts w:ascii="Georgia" w:hAnsi="Georgia" w:eastAsia="Georgia" w:cs="Georgia"/>
      <w:i/>
      <w:iCs/>
      <w:color w:themeColor="accent1" w:val="4F81BD"/>
      <w:spacing w:val="15"/>
      <w:sz w:val="24"/>
      <w:szCs w:val="24"/>
    </w:rPr>
  </w:style>
  <w:style w:type="paragraph" w:styleId="ListParagraph">
    <w:name w:val="List Paragraph"/>
    <w:basedOn w:val="Normal"/>
    <w:uiPriority w:val="34"/>
    <w:qFormat/>
    <w:rsid w:val="00fc693f"/>
    <w:pPr>
      <w:spacing w:before="0" w:after="160"/>
      <w:ind w:start="720"/>
      <w:contextualSpacing/>
    </w:pPr>
    <w:rPr>
      <w:rFonts w:ascii="Georgia" w:hAnsi="Georgia" w:eastAsia="Georgia" w:cs="Georgia"/>
    </w:rPr>
  </w:style>
  <w:style w:type="paragraph" w:styleId="BodyText2">
    <w:name w:val="Body Text 2"/>
    <w:basedOn w:val="Normal"/>
    <w:link w:val="BodyText2Char"/>
    <w:uiPriority w:val="99"/>
    <w:unhideWhenUsed/>
    <w:qFormat/>
    <w:rsid w:val="00aa1d8d"/>
    <w:pPr>
      <w:spacing w:lineRule="auto" w:line="480" w:before="0" w:after="120"/>
    </w:pPr>
    <w:rPr>
      <w:rFonts w:ascii="Georgia" w:hAnsi="Georgia" w:eastAsia="Georgia" w:cs="Georgia"/>
    </w:rPr>
  </w:style>
  <w:style w:type="paragraph" w:styleId="BodyText3">
    <w:name w:val="Body Text 3"/>
    <w:basedOn w:val="Normal"/>
    <w:link w:val="BodyText3Char"/>
    <w:uiPriority w:val="99"/>
    <w:unhideWhenUsed/>
    <w:qFormat/>
    <w:rsid w:val="00aa1d8d"/>
    <w:pPr>
      <w:spacing w:before="0" w:after="120"/>
    </w:pPr>
    <w:rPr>
      <w:rFonts w:ascii="Georgia" w:hAnsi="Georgia" w:eastAsia="Georgia" w:cs="Georgia"/>
      <w:sz w:val="16"/>
      <w:szCs w:val="16"/>
    </w:rPr>
  </w:style>
  <w:style w:type="paragraph" w:styleId="List2">
    <w:name w:val="List 2"/>
    <w:basedOn w:val="Normal"/>
    <w:uiPriority w:val="99"/>
    <w:unhideWhenUsed/>
    <w:qFormat/>
    <w:rsid w:val="00326f90"/>
    <w:pPr>
      <w:spacing w:before="0" w:after="160"/>
      <w:ind w:hanging="360" w:start="720"/>
      <w:contextualSpacing/>
    </w:pPr>
    <w:rPr>
      <w:rFonts w:ascii="Georgia" w:hAnsi="Georgia" w:eastAsia="Georgia" w:cs="Georgia"/>
    </w:rPr>
  </w:style>
  <w:style w:type="paragraph" w:styleId="List3">
    <w:name w:val="List 3"/>
    <w:basedOn w:val="Normal"/>
    <w:uiPriority w:val="99"/>
    <w:unhideWhenUsed/>
    <w:qFormat/>
    <w:rsid w:val="00326f90"/>
    <w:pPr>
      <w:spacing w:before="0" w:after="160"/>
      <w:ind w:hanging="360" w:start="1080"/>
      <w:contextualSpacing/>
    </w:pPr>
    <w:rPr>
      <w:rFonts w:ascii="Georgia" w:hAnsi="Georgia" w:eastAsia="Georgia" w:cs="Georgia"/>
    </w:rPr>
  </w:style>
  <w:style w:type="paragraph" w:styleId="ListBullet">
    <w:name w:val="List Bullet"/>
    <w:basedOn w:val="Normal"/>
    <w:uiPriority w:val="99"/>
    <w:unhideWhenUsed/>
    <w:rsid w:val="00326f90"/>
    <w:pPr>
      <w:numPr>
        <w:ilvl w:val="0"/>
        <w:numId w:val="1"/>
      </w:numPr>
      <w:spacing w:before="0" w:after="160"/>
      <w:contextualSpacing/>
    </w:pPr>
    <w:rPr>
      <w:rFonts w:ascii="Georgia" w:hAnsi="Georgia" w:eastAsia="Georgia" w:cs="Georgia"/>
    </w:rPr>
  </w:style>
  <w:style w:type="paragraph" w:styleId="ListBullet2">
    <w:name w:val="List Bullet 2"/>
    <w:basedOn w:val="Normal"/>
    <w:uiPriority w:val="99"/>
    <w:unhideWhenUsed/>
    <w:rsid w:val="00326f90"/>
    <w:pPr>
      <w:numPr>
        <w:ilvl w:val="0"/>
        <w:numId w:val="2"/>
      </w:numPr>
      <w:spacing w:before="0" w:after="160"/>
      <w:contextualSpacing/>
    </w:pPr>
    <w:rPr>
      <w:rFonts w:ascii="Georgia" w:hAnsi="Georgia" w:eastAsia="Georgia" w:cs="Georgia"/>
    </w:rPr>
  </w:style>
  <w:style w:type="paragraph" w:styleId="ListBullet3">
    <w:name w:val="List Bullet 3"/>
    <w:basedOn w:val="Normal"/>
    <w:uiPriority w:val="99"/>
    <w:unhideWhenUsed/>
    <w:rsid w:val="00326f90"/>
    <w:pPr>
      <w:numPr>
        <w:ilvl w:val="0"/>
        <w:numId w:val="3"/>
      </w:numPr>
      <w:spacing w:before="0" w:after="160"/>
      <w:contextualSpacing/>
    </w:pPr>
    <w:rPr>
      <w:rFonts w:ascii="Georgia" w:hAnsi="Georgia" w:eastAsia="Georgia" w:cs="Georgia"/>
    </w:rPr>
  </w:style>
  <w:style w:type="paragraph" w:styleId="ListNumber">
    <w:name w:val="List Number"/>
    <w:basedOn w:val="Normal"/>
    <w:uiPriority w:val="99"/>
    <w:unhideWhenUsed/>
    <w:rsid w:val="00326f90"/>
    <w:pPr>
      <w:numPr>
        <w:ilvl w:val="0"/>
        <w:numId w:val="4"/>
      </w:numPr>
      <w:spacing w:before="0" w:after="160"/>
      <w:contextualSpacing/>
    </w:pPr>
    <w:rPr>
      <w:rFonts w:ascii="Georgia" w:hAnsi="Georgia" w:eastAsia="Georgia" w:cs="Georgia"/>
    </w:rPr>
  </w:style>
  <w:style w:type="paragraph" w:styleId="ListNumber2">
    <w:name w:val="List Number 2"/>
    <w:basedOn w:val="Normal"/>
    <w:uiPriority w:val="99"/>
    <w:unhideWhenUsed/>
    <w:rsid w:val="0029639d"/>
    <w:pPr>
      <w:numPr>
        <w:ilvl w:val="0"/>
        <w:numId w:val="5"/>
      </w:numPr>
      <w:spacing w:before="0" w:after="160"/>
      <w:contextualSpacing/>
    </w:pPr>
    <w:rPr>
      <w:rFonts w:ascii="Georgia" w:hAnsi="Georgia" w:eastAsia="Georgia" w:cs="Georgia"/>
    </w:rPr>
  </w:style>
  <w:style w:type="paragraph" w:styleId="ListNumber3">
    <w:name w:val="List Number 3"/>
    <w:basedOn w:val="Normal"/>
    <w:uiPriority w:val="99"/>
    <w:unhideWhenUsed/>
    <w:rsid w:val="0029639d"/>
    <w:pPr>
      <w:numPr>
        <w:ilvl w:val="0"/>
        <w:numId w:val="6"/>
      </w:numPr>
      <w:spacing w:before="0" w:after="160"/>
      <w:contextualSpacing/>
    </w:pPr>
    <w:rPr>
      <w:rFonts w:ascii="Georgia" w:hAnsi="Georgia" w:eastAsia="Georgia" w:cs="Georgia"/>
    </w:rPr>
  </w:style>
  <w:style w:type="paragraph" w:styleId="ListContinue">
    <w:name w:val="List Continue"/>
    <w:basedOn w:val="Normal"/>
    <w:uiPriority w:val="99"/>
    <w:unhideWhenUsed/>
    <w:rsid w:val="0029639d"/>
    <w:pPr>
      <w:spacing w:before="0" w:after="120"/>
      <w:ind w:start="360"/>
      <w:contextualSpacing/>
    </w:pPr>
    <w:rPr>
      <w:rFonts w:ascii="Georgia" w:hAnsi="Georgia" w:eastAsia="Georgia" w:cs="Georgia"/>
    </w:rPr>
  </w:style>
  <w:style w:type="paragraph" w:styleId="ListContinue2">
    <w:name w:val="List Continue 2"/>
    <w:basedOn w:val="Normal"/>
    <w:uiPriority w:val="99"/>
    <w:unhideWhenUsed/>
    <w:rsid w:val="0029639d"/>
    <w:pPr>
      <w:spacing w:before="0" w:after="120"/>
      <w:ind w:start="720"/>
      <w:contextualSpacing/>
    </w:pPr>
    <w:rPr>
      <w:rFonts w:ascii="Georgia" w:hAnsi="Georgia" w:eastAsia="Georgia" w:cs="Georgia"/>
    </w:rPr>
  </w:style>
  <w:style w:type="paragraph" w:styleId="ListContinue3">
    <w:name w:val="List Continue 3"/>
    <w:basedOn w:val="Normal"/>
    <w:uiPriority w:val="99"/>
    <w:unhideWhenUsed/>
    <w:rsid w:val="0029639d"/>
    <w:pPr>
      <w:spacing w:before="0" w:after="120"/>
      <w:ind w:start="1080"/>
      <w:contextualSpacing/>
    </w:pPr>
    <w:rPr>
      <w:rFonts w:ascii="Georgia" w:hAnsi="Georgia" w:eastAsia="Georgia" w:cs="Georgia"/>
    </w:rPr>
  </w:style>
  <w:style w:type="paragraph" w:styleId="MacroText">
    <w:name w:val="macro"/>
    <w:link w:val="MacroTextChar"/>
    <w:uiPriority w:val="99"/>
    <w:unhideWhenUsed/>
    <w:qFormat/>
    <w:rsid w:val="0029639d"/>
    <w:pPr>
      <w:widowControl/>
      <w:tabs>
        <w:tab w:val="clear" w:pos="720"/>
        <w:tab w:val="left" w:pos="576" w:leader="none"/>
        <w:tab w:val="left" w:pos="1152" w:leader="none"/>
        <w:tab w:val="left" w:pos="1728" w:leader="none"/>
        <w:tab w:val="left" w:pos="2304" w:leader="none"/>
        <w:tab w:val="left" w:pos="2880" w:leader="none"/>
        <w:tab w:val="left" w:pos="3456" w:leader="none"/>
        <w:tab w:val="left" w:pos="4032" w:leader="none"/>
      </w:tabs>
      <w:suppressAutoHyphens w:val="true"/>
      <w:bidi w:val="0"/>
      <w:spacing w:lineRule="auto" w:line="276" w:before="0" w:after="200"/>
      <w:jc w:val="start"/>
    </w:pPr>
    <w:rPr>
      <w:rFonts w:ascii="Georgia" w:hAnsi="Georgia" w:eastAsia="Georgia" w:cs="Georgia"/>
      <w:color w:val="auto"/>
      <w:kern w:val="0"/>
      <w:sz w:val="20"/>
      <w:szCs w:val="20"/>
      <w:lang w:val="en-US" w:eastAsia="en-US" w:bidi="ar-SA"/>
    </w:rPr>
  </w:style>
  <w:style w:type="paragraph" w:styleId="Quote">
    <w:name w:val="Quote"/>
    <w:basedOn w:val="Normal"/>
    <w:next w:val="Normal"/>
    <w:link w:val="QuoteChar"/>
    <w:uiPriority w:val="29"/>
    <w:qFormat/>
    <w:rsid w:val="00fc693f"/>
    <w:pPr>
      <w:spacing w:lineRule="auto" w:line="336" w:before="160" w:after="160"/>
    </w:pPr>
    <w:rPr>
      <w:rFonts w:ascii="Georgia" w:hAnsi="Georgia" w:eastAsia="Georgia" w:cs="Georgia"/>
      <w:i/>
      <w:iCs/>
      <w:color w:val="212529"/>
      <w:sz w:val="23"/>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start="936" w:end="936"/>
    </w:pPr>
    <w:rPr>
      <w:rFonts w:ascii="Georgia" w:hAnsi="Georgia" w:eastAsia="Georgia" w:cs="Georgia"/>
      <w:b/>
      <w:bCs/>
      <w:i/>
      <w:iCs/>
      <w:color w:themeColor="accent1" w:val="4F81BD"/>
    </w:rPr>
  </w:style>
  <w:style w:type="paragraph" w:styleId="IndexHeading">
    <w:name w:val="index heading"/>
    <w:basedOn w:val="Heading"/>
    <w:pPr/>
    <w:rPr>
      <w:rFonts w:ascii="Arial" w:hAnsi="Arial" w:eastAsia="Arial" w:cs="Arial"/>
    </w:rPr>
  </w:style>
  <w:style w:type="paragraph" w:styleId="TOCHeading">
    <w:name w:val="TOC Heading"/>
    <w:basedOn w:val="Heading1"/>
    <w:next w:val="Normal"/>
    <w:uiPriority w:val="39"/>
    <w:semiHidden/>
    <w:unhideWhenUsed/>
    <w:qFormat/>
    <w:rsid w:val="00fc693f"/>
    <w:pPr>
      <w:spacing w:lineRule="auto" w:line="312" w:before="0" w:after="40"/>
      <w:outlineLvl w:val="9"/>
    </w:pPr>
    <w:rPr>
      <w:rFonts w:ascii="Arial" w:hAnsi="Arial" w:eastAsia="Arial" w:cs="Arial"/>
      <w:b/>
      <w:color w:val="00547B"/>
      <w:sz w:val="32"/>
    </w:rPr>
  </w:style>
  <w:style w:type="paragraph" w:styleId="InstatsCoverTitle" w:customStyle="1">
    <w:name w:val="InstatsCoverTitle"/>
    <w:basedOn w:val="Normal"/>
    <w:qFormat/>
    <w:pPr>
      <w:spacing w:lineRule="auto" w:line="264" w:before="0" w:after="120"/>
      <w:jc w:val="start"/>
    </w:pPr>
    <w:rPr>
      <w:rFonts w:ascii="Arial" w:hAnsi="Arial" w:eastAsia="Arial" w:cs="Arial"/>
      <w:b/>
      <w:color w:val="00547B"/>
      <w:sz w:val="64"/>
    </w:rPr>
  </w:style>
  <w:style w:type="paragraph" w:styleId="InstatsCoverSubtitle" w:customStyle="1">
    <w:name w:val="InstatsCoverSubtitle"/>
    <w:basedOn w:val="Normal"/>
    <w:qFormat/>
    <w:pPr>
      <w:spacing w:lineRule="auto" w:line="288" w:before="0" w:after="480"/>
    </w:pPr>
    <w:rPr>
      <w:rFonts w:ascii="Georgia" w:hAnsi="Georgia" w:eastAsia="Georgia" w:cs="Georgia"/>
      <w:i/>
      <w:color w:val="3092B1"/>
      <w:sz w:val="36"/>
    </w:rPr>
  </w:style>
  <w:style w:type="paragraph" w:styleId="InstatsCoverAuthor" w:customStyle="1">
    <w:name w:val="InstatsCoverAuthor"/>
    <w:basedOn w:val="Normal"/>
    <w:qFormat/>
    <w:pPr>
      <w:spacing w:lineRule="auto" w:line="300" w:before="0" w:after="40"/>
    </w:pPr>
    <w:rPr>
      <w:rFonts w:ascii="Arial" w:hAnsi="Arial" w:eastAsia="Arial" w:cs="Arial"/>
      <w:color w:val="212529"/>
      <w:sz w:val="24"/>
    </w:rPr>
  </w:style>
  <w:style w:type="paragraph" w:styleId="InstatsCoverBand" w:customStyle="1">
    <w:name w:val="InstatsCoverBand"/>
    <w:basedOn w:val="Normal"/>
    <w:qFormat/>
    <w:pPr>
      <w:shd w:val="clear" w:color="auto" w:fill="00547B"/>
      <w:spacing w:lineRule="auto" w:line="276" w:before="160" w:after="240"/>
    </w:pPr>
    <w:rPr>
      <w:rFonts w:ascii="Arial" w:hAnsi="Arial" w:eastAsia="Arial" w:cs="Arial"/>
      <w:b/>
      <w:caps/>
      <w:color w:val="FFFFFF"/>
      <w:spacing w:val="18"/>
      <w:sz w:val="18"/>
    </w:rPr>
  </w:style>
  <w:style w:type="paragraph" w:styleId="InstatsKicker" w:customStyle="1">
    <w:name w:val="InstatsKicker"/>
    <w:qFormat/>
    <w:pPr>
      <w:widowControl/>
      <w:suppressAutoHyphens w:val="true"/>
      <w:bidi w:val="0"/>
      <w:spacing w:lineRule="auto" w:line="288" w:before="160" w:after="80"/>
      <w:jc w:val="start"/>
    </w:pPr>
    <w:rPr>
      <w:rFonts w:ascii="Arial" w:hAnsi="Arial" w:eastAsia="Arial" w:cs="Arial"/>
      <w:b/>
      <w:caps/>
      <w:color w:val="00547B"/>
      <w:kern w:val="0"/>
      <w:sz w:val="18"/>
      <w:szCs w:val="22"/>
      <w:lang w:val="en-US" w:eastAsia="en-US" w:bidi="ar-SA"/>
    </w:rPr>
  </w:style>
  <w:style w:type="paragraph" w:styleId="InstatsFigKicker" w:customStyle="1">
    <w:name w:val="InstatsFigKicker"/>
    <w:qFormat/>
    <w:pPr>
      <w:widowControl/>
      <w:suppressAutoHyphens w:val="true"/>
      <w:bidi w:val="0"/>
      <w:spacing w:lineRule="auto" w:line="288" w:before="80" w:after="40"/>
      <w:jc w:val="start"/>
    </w:pPr>
    <w:rPr>
      <w:rFonts w:ascii="Arial" w:hAnsi="Arial" w:eastAsia="Arial" w:cs="Arial"/>
      <w:b/>
      <w:caps/>
      <w:color w:val="00547B"/>
      <w:spacing w:val="20"/>
      <w:kern w:val="0"/>
      <w:sz w:val="18"/>
      <w:szCs w:val="22"/>
      <w:lang w:val="en-US" w:eastAsia="en-US" w:bidi="ar-SA"/>
    </w:rPr>
  </w:style>
  <w:style w:type="paragraph" w:styleId="InstatsAbstract" w:customStyle="1">
    <w:name w:val="InstatsAbstract"/>
    <w:basedOn w:val="Normal"/>
    <w:qFormat/>
    <w:pPr>
      <w:spacing w:lineRule="auto" w:line="348" w:before="160" w:after="320"/>
      <w:ind w:end="1701"/>
    </w:pPr>
    <w:rPr>
      <w:rFonts w:ascii="Georgia" w:hAnsi="Georgia" w:eastAsia="Georgia" w:cs="Georgia"/>
      <w:i/>
      <w:color w:val="212529"/>
      <w:sz w:val="24"/>
    </w:rPr>
  </w:style>
  <w:style w:type="paragraph" w:styleId="InstatsLede" w:customStyle="1">
    <w:name w:val="InstatsLede"/>
    <w:qFormat/>
    <w:pPr>
      <w:widowControl/>
      <w:pBdr>
        <w:left w:val="single" w:sz="16" w:space="8" w:color="00547B"/>
      </w:pBdr>
      <w:suppressAutoHyphens w:val="true"/>
      <w:bidi w:val="0"/>
      <w:spacing w:lineRule="auto" w:line="336" w:before="160" w:after="240"/>
      <w:ind w:start="454"/>
      <w:jc w:val="start"/>
    </w:pPr>
    <w:rPr>
      <w:rFonts w:ascii="Georgia" w:hAnsi="Georgia" w:eastAsia="Georgia" w:cs="Georgia"/>
      <w:i/>
      <w:color w:val="212529"/>
      <w:kern w:val="0"/>
      <w:sz w:val="28"/>
      <w:szCs w:val="22"/>
      <w:lang w:val="en-US" w:eastAsia="en-US" w:bidi="ar-SA"/>
    </w:rPr>
  </w:style>
  <w:style w:type="paragraph" w:styleId="InstatsPullquote" w:customStyle="1">
    <w:name w:val="InstatsPullquote"/>
    <w:qFormat/>
    <w:pPr>
      <w:widowControl/>
      <w:pBdr>
        <w:left w:val="single" w:sz="96" w:space="12" w:color="00547B"/>
      </w:pBdr>
      <w:suppressAutoHyphens w:val="true"/>
      <w:bidi w:val="0"/>
      <w:spacing w:lineRule="auto" w:line="324" w:before="400" w:after="200"/>
      <w:ind w:start="567"/>
      <w:jc w:val="start"/>
    </w:pPr>
    <w:rPr>
      <w:rFonts w:ascii="Georgia" w:hAnsi="Georgia" w:eastAsia="Georgia" w:cs="Georgia"/>
      <w:i/>
      <w:color w:val="212529"/>
      <w:kern w:val="0"/>
      <w:sz w:val="36"/>
      <w:szCs w:val="22"/>
      <w:lang w:val="en-US" w:eastAsia="en-US" w:bidi="ar-SA"/>
    </w:rPr>
  </w:style>
  <w:style w:type="paragraph" w:styleId="InstatsPullquoteCite" w:customStyle="1">
    <w:name w:val="InstatsPullquoteCite"/>
    <w:qFormat/>
    <w:pPr>
      <w:widowControl/>
      <w:suppressAutoHyphens w:val="true"/>
      <w:bidi w:val="0"/>
      <w:spacing w:lineRule="auto" w:line="312" w:before="80" w:after="400"/>
      <w:ind w:start="567"/>
      <w:jc w:val="start"/>
    </w:pPr>
    <w:rPr>
      <w:rFonts w:ascii="Georgia" w:hAnsi="Georgia" w:eastAsia="Georgia" w:cs="Georgia"/>
      <w:b/>
      <w:color w:val="495057"/>
      <w:kern w:val="0"/>
      <w:sz w:val="18"/>
      <w:szCs w:val="22"/>
      <w:lang w:val="en-US" w:eastAsia="en-US" w:bidi="ar-SA"/>
    </w:rPr>
  </w:style>
  <w:style w:type="paragraph" w:styleId="InstatsMetaLine" w:customStyle="1">
    <w:name w:val="InstatsMetaLine"/>
    <w:qFormat/>
    <w:pPr>
      <w:widowControl/>
      <w:suppressAutoHyphens w:val="true"/>
      <w:bidi w:val="0"/>
      <w:spacing w:lineRule="auto" w:line="336" w:before="80" w:after="120"/>
      <w:jc w:val="start"/>
    </w:pPr>
    <w:rPr>
      <w:rFonts w:ascii="Arial" w:hAnsi="Arial" w:eastAsia="Arial" w:cs="Arial"/>
      <w:b/>
      <w:color w:val="495057"/>
      <w:kern w:val="0"/>
      <w:sz w:val="16"/>
      <w:szCs w:val="22"/>
      <w:lang w:val="en-US" w:eastAsia="en-US" w:bidi="ar-SA"/>
    </w:rPr>
  </w:style>
  <w:style w:type="paragraph" w:styleId="InstatsColophon" w:customStyle="1">
    <w:name w:val="InstatsColophon"/>
    <w:basedOn w:val="Normal"/>
    <w:qFormat/>
    <w:pPr>
      <w:pBdr>
        <w:left w:val="single" w:sz="24" w:space="10" w:color="3092B1"/>
      </w:pBdr>
      <w:spacing w:lineRule="auto" w:line="336" w:before="80" w:after="160"/>
      <w:ind w:start="283"/>
    </w:pPr>
    <w:rPr>
      <w:rFonts w:ascii="Arial" w:hAnsi="Arial" w:eastAsia="Arial" w:cs="Arial"/>
      <w:color w:val="495057"/>
      <w:sz w:val="20"/>
    </w:rPr>
  </w:style>
  <w:style w:type="paragraph" w:styleId="InstatsExecBand" w:customStyle="1">
    <w:name w:val="InstatsExecBand"/>
    <w:basedOn w:val="Normal"/>
    <w:qFormat/>
    <w:pPr>
      <w:shd w:val="clear" w:color="auto" w:fill="F5F5F7"/>
      <w:spacing w:lineRule="auto" w:line="300" w:before="80" w:after="80"/>
      <w:ind w:start="340" w:end="340"/>
    </w:pPr>
    <w:rPr>
      <w:rFonts w:ascii="Georgia" w:hAnsi="Georgia" w:eastAsia="Georgia" w:cs="Georgia"/>
    </w:rPr>
  </w:style>
  <w:style w:type="paragraph" w:styleId="InstatsCallout" w:customStyle="1">
    <w:name w:val="InstatsCallout"/>
    <w:basedOn w:val="Normal"/>
    <w:qFormat/>
    <w:pPr>
      <w:pBdr>
        <w:left w:val="single" w:sz="4" w:space="10" w:color="D5D5D7"/>
        <w:right w:val="single" w:sz="4" w:space="10" w:color="D5D5D7"/>
      </w:pBdr>
      <w:spacing w:lineRule="auto" w:line="360" w:before="80" w:after="200"/>
      <w:ind w:start="397" w:end="397"/>
    </w:pPr>
    <w:rPr>
      <w:rFonts w:ascii="Georgia" w:hAnsi="Georgia" w:eastAsia="Georgia" w:cs="Georgia"/>
    </w:rPr>
  </w:style>
  <w:style w:type="paragraph" w:styleId="Compact" w:customStyle="1">
    <w:name w:val="Compact"/>
    <w:qFormat/>
    <w:pPr>
      <w:widowControl/>
      <w:suppressAutoHyphens w:val="true"/>
      <w:bidi w:val="0"/>
      <w:spacing w:lineRule="auto" w:line="312" w:before="0" w:after="40"/>
      <w:jc w:val="start"/>
    </w:pPr>
    <w:rPr>
      <w:rFonts w:ascii="Georgia" w:hAnsi="Georgia" w:eastAsia="Georgia" w:cs="Georgia"/>
      <w:color w:val="212529"/>
      <w:kern w:val="0"/>
      <w:sz w:val="24"/>
      <w:szCs w:val="22"/>
      <w:lang w:val="en-US" w:eastAsia="en-US" w:bidi="ar-SA"/>
    </w:rPr>
  </w:style>
  <w:style w:type="paragraph" w:styleId="FirstParagraph" w:customStyle="1">
    <w:name w:val="FirstParagraph"/>
    <w:qFormat/>
    <w:pPr>
      <w:widowControl/>
      <w:suppressAutoHyphens w:val="true"/>
      <w:bidi w:val="0"/>
      <w:spacing w:lineRule="auto" w:line="360" w:before="0" w:after="160"/>
      <w:jc w:val="start"/>
    </w:pPr>
    <w:rPr>
      <w:rFonts w:ascii="Georgia" w:hAnsi="Georgia" w:eastAsia="Georgia" w:cs="Georgia"/>
      <w:color w:val="212529"/>
      <w:kern w:val="0"/>
      <w:sz w:val="24"/>
      <w:szCs w:val="22"/>
      <w:lang w:val="en-US" w:eastAsia="en-US" w:bidi="ar-SA"/>
    </w:rPr>
  </w:style>
  <w:style w:type="paragraph" w:styleId="BlockText" w:customStyle="1">
    <w:name w:val="BlockText"/>
    <w:qFormat/>
    <w:pPr>
      <w:widowControl/>
      <w:suppressAutoHyphens w:val="true"/>
      <w:bidi w:val="0"/>
      <w:spacing w:lineRule="auto" w:line="360" w:before="160" w:after="160"/>
      <w:jc w:val="start"/>
    </w:pPr>
    <w:rPr>
      <w:rFonts w:ascii="Georgia" w:hAnsi="Georgia" w:eastAsia="Georgia" w:cs="Georgia"/>
      <w:i/>
      <w:color w:val="212529"/>
      <w:kern w:val="0"/>
      <w:sz w:val="24"/>
      <w:szCs w:val="22"/>
      <w:lang w:val="en-US" w:eastAsia="en-US" w:bidi="ar-SA"/>
    </w:rPr>
  </w:style>
  <w:style w:type="paragraph" w:styleId="TableText" w:customStyle="1">
    <w:name w:val="TableText"/>
    <w:basedOn w:val="Normal"/>
    <w:qFormat/>
    <w:pPr>
      <w:spacing w:lineRule="auto" w:line="278" w:before="40" w:after="40"/>
    </w:pPr>
    <w:rPr>
      <w:rFonts w:ascii="Arial" w:hAnsi="Arial" w:eastAsia="Arial" w:cs="Arial"/>
      <w:color w:val="212529"/>
      <w:sz w:val="18"/>
    </w:rPr>
  </w:style>
  <w:style w:type="paragraph" w:styleId="TableHeader" w:customStyle="1">
    <w:name w:val="TableHeader"/>
    <w:basedOn w:val="TableText"/>
    <w:qFormat/>
    <w:pPr>
      <w:spacing w:lineRule="auto" w:line="278" w:before="40" w:after="40"/>
    </w:pPr>
    <w:rPr>
      <w:rFonts w:ascii="Arial" w:hAnsi="Arial" w:eastAsia="Arial" w:cs="Arial"/>
      <w:b/>
      <w:color w:val="212529"/>
      <w:sz w:val="18"/>
    </w:rPr>
  </w:style>
  <w:style w:type="paragraph" w:styleId="TableCaption" w:customStyle="1">
    <w:name w:val="TableCaption"/>
    <w:basedOn w:val="Normal"/>
    <w:qFormat/>
    <w:pPr>
      <w:spacing w:lineRule="auto" w:line="300" w:before="40" w:after="280"/>
    </w:pPr>
    <w:rPr>
      <w:rFonts w:ascii="Arial" w:hAnsi="Arial" w:eastAsia="Arial" w:cs="Arial"/>
      <w:color w:val="495057"/>
      <w:sz w:val="18"/>
    </w:rPr>
  </w:style>
  <w:style w:type="paragraph" w:styleId="AnswerRow" w:customStyle="1">
    <w:name w:val="AnswerRow"/>
    <w:basedOn w:val="Normal"/>
    <w:qFormat/>
    <w:pPr>
      <w:keepNext w:val="true"/>
      <w:pBdr>
        <w:left w:val="single" w:sz="12" w:space="8" w:color="3092B1"/>
      </w:pBdr>
      <w:spacing w:lineRule="auto" w:line="288" w:before="120" w:after="200"/>
      <w:ind w:start="227"/>
    </w:pPr>
    <w:rPr>
      <w:rFonts w:ascii="Arial" w:hAnsi="Arial" w:eastAsia="Arial" w:cs="Arial"/>
      <w:color w:val="212529"/>
      <w:sz w:val="20"/>
    </w:rPr>
  </w:style>
  <w:style w:type="paragraph" w:styleId="FootnoteText" w:customStyle="1">
    <w:name w:val="footnote text"/>
    <w:pPr>
      <w:widowControl/>
      <w:suppressAutoHyphens w:val="true"/>
      <w:bidi w:val="0"/>
      <w:spacing w:lineRule="auto" w:line="312" w:before="0" w:after="80"/>
      <w:jc w:val="start"/>
    </w:pPr>
    <w:rPr>
      <w:rFonts w:ascii="Arial" w:hAnsi="Arial" w:eastAsia="Arial" w:cs="Arial"/>
      <w:color w:val="495057"/>
      <w:kern w:val="0"/>
      <w:sz w:val="18"/>
      <w:szCs w:val="22"/>
      <w:lang w:val="en-US" w:eastAsia="en-US" w:bidi="ar-SA"/>
    </w:rPr>
  </w:style>
  <w:style w:type="paragraph" w:styleId="FootnoteText1" w:customStyle="1">
    <w:name w:val="FootnoteText"/>
    <w:qFormat/>
    <w:pPr>
      <w:widowControl/>
      <w:suppressAutoHyphens w:val="true"/>
      <w:bidi w:val="0"/>
      <w:spacing w:lineRule="auto" w:line="312" w:before="0" w:after="80"/>
      <w:jc w:val="start"/>
    </w:pPr>
    <w:rPr>
      <w:rFonts w:ascii="Arial" w:hAnsi="Arial" w:eastAsia="Arial" w:cs="Arial"/>
      <w:color w:val="495057"/>
      <w:kern w:val="0"/>
      <w:sz w:val="18"/>
      <w:szCs w:val="22"/>
      <w:lang w:val="en-US" w:eastAsia="en-US" w:bidi="ar-SA"/>
    </w:rPr>
  </w:style>
  <w:style w:type="paragraph" w:styleId="SourceCode" w:customStyle="1">
    <w:name w:val="Source Code"/>
    <w:basedOn w:val="Normal"/>
    <w:link w:val="VerbatimChar"/>
    <w:qFormat/>
    <w:pPr/>
    <w:rPr>
      <w:rFonts w:ascii="Courier New" w:hAnsi="Courier New" w:eastAsia="Courier New" w:cs="Courier New"/>
    </w:rPr>
  </w:style>
  <w:style w:type="numbering" w:styleId="NoList" w:default="1">
    <w:name w:val="No List"/>
    <w:uiPriority w:val="99"/>
    <w:semiHidden/>
    <w:unhideWhenUsed/>
    <w:qFormat/>
    <w:rPr>
      <w:rFonts w:ascii="Georgia" w:hAnsi="Georgia" w:eastAsia="Georgia" w:cs="Georgia"/>
    </w:rPr>
  </w:style>
  <w:style w:type="table" w:default="1" w:styleId="TableNormal">
    <w:name w:val="Normal Table"/>
    <w:uiPriority w:val="99"/>
    <w:semiHidden/>
    <w:unhideWhenUsed/>
    <w:tblPr>
      <w:tblCellMar>
        <w:top w:w="0" w:type="dxa"/>
        <w:left w:w="108" w:type="dxa"/>
        <w:bottom w:w="0" w:type="dxa"/>
        <w:right w:w="108" w:type="dxa"/>
      </w:tblCellMar>
    </w:tblPr>
    <w:rPr>
      <w:rFonts w:ascii="Arial" w:hAnsi="Arial" w:eastAsia="Arial" w:cs="Arial"/>
    </w:r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rPr>
      <w:rFonts w:ascii="Arial" w:hAnsi="Arial" w:eastAsia="Arial" w:cs="Arial"/>
    </w:rPr>
  </w:style>
  <w:style w:type="table" w:styleId="LightShading">
    <w:name w:val="Light Shading"/>
    <w:basedOn w:val="TableNormal"/>
    <w:uiPriority w:val="60"/>
    <w:rsid w:val="00fc693f"/>
    <w:pPr>
      <w:spacing w:after="0" w:line="240" w:lineRule="auto"/>
    </w:pPr>
    <w:rPr>
      <w:rFonts w:ascii="Georgia" w:hAnsi="Georgia" w:eastAsia="Georgia" w:cs="Georgia"/>
      <w:color w:val="000000" w:themeColor="text1" w:themeShade="bf"/>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rFonts w:ascii="Georgia" w:hAnsi="Georgia" w:eastAsia="Georgia" w:cs="Georgia"/>
      <w:color w:val="365f91" w:themeColor="accent1" w:themeShade="bf"/>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rFonts w:ascii="Georgia" w:hAnsi="Georgia" w:eastAsia="Georgia" w:cs="Georgia"/>
      <w:color w:val="943634" w:themeColor="accent2" w:themeShade="bf"/>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rFonts w:ascii="Georgia" w:hAnsi="Georgia" w:eastAsia="Georgia" w:cs="Georgia"/>
      <w:color w:val="76923c" w:themeColor="accent3" w:themeShade="bf"/>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rFonts w:ascii="Georgia" w:hAnsi="Georgia" w:eastAsia="Georgia" w:cs="Georgia"/>
      <w:color w:val="5f497a" w:themeColor="accent4" w:themeShade="bf"/>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rFonts w:ascii="Georgia" w:hAnsi="Georgia" w:eastAsia="Georgia" w:cs="Georgia"/>
      <w:color w:val="31849b" w:themeColor="accent5" w:themeShade="bf"/>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rFonts w:ascii="Georgia" w:hAnsi="Georgia" w:eastAsia="Georgia" w:cs="Georgia"/>
      <w:color w:val="e36c0a" w:themeColor="accent6" w:themeShade="bf"/>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Pr/>
    </w:tblStylePr>
    <w:tblStylePr w:type="lastCol">
      <w:rPr>
        <w:b/>
        <w:bCs/>
      </w:rPr>
      <w:tbl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Pr/>
    </w:tblStylePr>
    <w:tblStylePr w:type="lastCol">
      <w:rPr>
        <w:b/>
        <w:bCs/>
      </w:rPr>
      <w:tbl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Pr/>
    </w:tblStylePr>
    <w:tblStylePr w:type="lastCol">
      <w:rPr>
        <w:b/>
        <w:bCs/>
      </w:rPr>
      <w:tbl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Pr/>
    </w:tblStylePr>
    <w:tblStylePr w:type="lastCol">
      <w:rPr>
        <w:b/>
        <w:bCs/>
      </w:rPr>
      <w:tbl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Pr/>
    </w:tblStylePr>
    <w:tblStylePr w:type="lastCol">
      <w:rPr>
        <w:b/>
        <w:bCs/>
      </w:rPr>
      <w:tbl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Pr/>
    </w:tblStylePr>
    <w:tblStylePr w:type="lastCol">
      <w:rPr>
        <w:b/>
        <w:bCs/>
      </w:rPr>
      <w:tbl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Pr/>
    </w:tblStylePr>
    <w:tblStylePr w:type="lastCol">
      <w:rPr>
        <w:b/>
        <w:bCs/>
      </w:rPr>
      <w:tbl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Georgia" w:hAnsi="Georgia" w:eastAsia="Georgia" w:cs="Georgia"/>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Georgia" w:hAnsi="Georgia" w:eastAsia="Georgia" w:cs="Georgia"/>
        <w:b/>
        <w:bCs/>
      </w:rPr>
      <w:tblPr/>
    </w:tblStylePr>
    <w:tblStylePr w:type="lastCol">
      <w:rPr>
        <w:rFonts w:ascii="Georgia" w:hAnsi="Georgia" w:eastAsia="Georgia" w:cs="Georgia"/>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Georgia" w:hAnsi="Georgia" w:eastAsia="Georgia" w:cs="Georgia"/>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Georgia" w:hAnsi="Georgia" w:eastAsia="Georgia" w:cs="Georgia"/>
        <w:b/>
        <w:bCs/>
      </w:rPr>
      <w:tblPr/>
    </w:tblStylePr>
    <w:tblStylePr w:type="lastCol">
      <w:rPr>
        <w:rFonts w:ascii="Georgia" w:hAnsi="Georgia" w:eastAsia="Georgia" w:cs="Georgia"/>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Georgia" w:hAnsi="Georgia" w:eastAsia="Georgia" w:cs="Georgia"/>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Georgia" w:hAnsi="Georgia" w:eastAsia="Georgia" w:cs="Georgia"/>
        <w:b/>
        <w:bCs/>
      </w:rPr>
      <w:tblPr/>
    </w:tblStylePr>
    <w:tblStylePr w:type="lastCol">
      <w:rPr>
        <w:rFonts w:ascii="Georgia" w:hAnsi="Georgia" w:eastAsia="Georgia" w:cs="Georgia"/>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Georgia" w:hAnsi="Georgia" w:eastAsia="Georgia" w:cs="Georgia"/>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Georgia" w:hAnsi="Georgia" w:eastAsia="Georgia" w:cs="Georgia"/>
        <w:b/>
        <w:bCs/>
      </w:rPr>
      <w:tblPr/>
    </w:tblStylePr>
    <w:tblStylePr w:type="lastCol">
      <w:rPr>
        <w:rFonts w:ascii="Georgia" w:hAnsi="Georgia" w:eastAsia="Georgia" w:cs="Georgia"/>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Georgia" w:hAnsi="Georgia" w:eastAsia="Georgia" w:cs="Georgia"/>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Georgia" w:hAnsi="Georgia" w:eastAsia="Georgia" w:cs="Georgia"/>
        <w:b/>
        <w:bCs/>
      </w:rPr>
      <w:tblPr/>
    </w:tblStylePr>
    <w:tblStylePr w:type="lastCol">
      <w:rPr>
        <w:rFonts w:ascii="Georgia" w:hAnsi="Georgia" w:eastAsia="Georgia" w:cs="Georgia"/>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Georgia" w:hAnsi="Georgia" w:eastAsia="Georgia" w:cs="Georgia"/>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Georgia" w:hAnsi="Georgia" w:eastAsia="Georgia" w:cs="Georgia"/>
        <w:b/>
        <w:bCs/>
      </w:rPr>
      <w:tblPr/>
    </w:tblStylePr>
    <w:tblStylePr w:type="lastCol">
      <w:rPr>
        <w:rFonts w:ascii="Georgia" w:hAnsi="Georgia" w:eastAsia="Georgia" w:cs="Georgia"/>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Georgia" w:hAnsi="Georgia" w:eastAsia="Georgia" w:cs="Georgia"/>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Georgia" w:hAnsi="Georgia" w:eastAsia="Georgia" w:cs="Georgia"/>
        <w:b/>
        <w:bCs/>
      </w:rPr>
      <w:tblPr/>
    </w:tblStylePr>
    <w:tblStylePr w:type="lastCol">
      <w:rPr>
        <w:rFonts w:ascii="Georgia" w:hAnsi="Georgia" w:eastAsia="Georgia" w:cs="Georgia"/>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404040" w:themeColor="text1" w:sz="8" w:space="0"/>
          <w:left w:val="single" w:color="404040" w:themeColor="text1" w:sz="8" w:space="0"/>
          <w:bottom w:val="single" w:color="404040" w:themeColor="text1" w:sz="8" w:space="0"/>
          <w:right w:val="single" w:color="404040" w:themeColor="text1"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sz="6" w:space="0"/>
          <w:left w:val="single" w:color="404040" w:themeColor="text1" w:sz="8" w:space="0"/>
          <w:bottom w:val="single" w:color="404040" w:themeColor="text1" w:sz="8" w:space="0"/>
          <w:right w:val="single" w:color="404040" w:themeColor="text1" w:sz="8" w:space="0"/>
          <w:insideH w:val="nil"/>
          <w:insideV w:val="nil"/>
        </w:tcBorders>
      </w:tcPr>
    </w:tblStylePr>
    <w:tblStylePr w:type="firstCol">
      <w:rPr>
        <w:b/>
        <w:bCs/>
      </w:rPr>
      <w:tblPr/>
    </w:tblStylePr>
    <w:tblStylePr w:type="lastCol">
      <w:rPr>
        <w:b/>
        <w:bCs/>
      </w:rPr>
      <w:tbl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7BA0CD" w:themeColor="accent1" w:sz="8" w:space="0"/>
          <w:left w:val="single" w:color="7BA0CD" w:themeColor="accent1" w:sz="8" w:space="0"/>
          <w:bottom w:val="single" w:color="7BA0CD" w:themeColor="accent1" w:sz="8" w:space="0"/>
          <w:right w:val="single" w:color="7BA0CD" w:themeColor="accent1"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sz="6" w:space="0"/>
          <w:left w:val="single" w:color="7BA0CD" w:themeColor="accent1" w:sz="8" w:space="0"/>
          <w:bottom w:val="single" w:color="7BA0CD" w:themeColor="accent1" w:sz="8" w:space="0"/>
          <w:right w:val="single" w:color="7BA0CD" w:themeColor="accent1" w:sz="8" w:space="0"/>
          <w:insideH w:val="nil"/>
          <w:insideV w:val="nil"/>
        </w:tcBorders>
      </w:tcPr>
    </w:tblStylePr>
    <w:tblStylePr w:type="firstCol">
      <w:rPr>
        <w:b/>
        <w:bCs/>
      </w:rPr>
      <w:tblPr/>
    </w:tblStylePr>
    <w:tblStylePr w:type="lastCol">
      <w:rPr>
        <w:b/>
        <w:bCs/>
      </w:rPr>
      <w:tbl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CF7B79" w:themeColor="accent2" w:sz="8" w:space="0"/>
          <w:left w:val="single" w:color="CF7B79" w:themeColor="accent2" w:sz="8" w:space="0"/>
          <w:bottom w:val="single" w:color="CF7B79" w:themeColor="accent2" w:sz="8" w:space="0"/>
          <w:right w:val="single" w:color="CF7B79" w:themeColor="accent2"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sz="6" w:space="0"/>
          <w:left w:val="single" w:color="CF7B79" w:themeColor="accent2" w:sz="8" w:space="0"/>
          <w:bottom w:val="single" w:color="CF7B79" w:themeColor="accent2" w:sz="8" w:space="0"/>
          <w:right w:val="single" w:color="CF7B79" w:themeColor="accent2" w:sz="8" w:space="0"/>
          <w:insideH w:val="nil"/>
          <w:insideV w:val="nil"/>
        </w:tcBorders>
      </w:tcPr>
    </w:tblStylePr>
    <w:tblStylePr w:type="firstCol">
      <w:rPr>
        <w:b/>
        <w:bCs/>
      </w:rPr>
      <w:tblPr/>
    </w:tblStylePr>
    <w:tblStylePr w:type="lastCol">
      <w:rPr>
        <w:b/>
        <w:bCs/>
      </w:rPr>
      <w:tbl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B3CC82" w:themeColor="accent3" w:sz="8" w:space="0"/>
          <w:left w:val="single" w:color="B3CC82" w:themeColor="accent3" w:sz="8" w:space="0"/>
          <w:bottom w:val="single" w:color="B3CC82" w:themeColor="accent3" w:sz="8" w:space="0"/>
          <w:right w:val="single" w:color="B3CC82" w:themeColor="accent3"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sz="6" w:space="0"/>
          <w:left w:val="single" w:color="B3CC82" w:themeColor="accent3" w:sz="8" w:space="0"/>
          <w:bottom w:val="single" w:color="B3CC82" w:themeColor="accent3" w:sz="8" w:space="0"/>
          <w:right w:val="single" w:color="B3CC82" w:themeColor="accent3" w:sz="8" w:space="0"/>
          <w:insideH w:val="nil"/>
          <w:insideV w:val="nil"/>
        </w:tcBorders>
      </w:tcPr>
    </w:tblStylePr>
    <w:tblStylePr w:type="firstCol">
      <w:rPr>
        <w:b/>
        <w:bCs/>
      </w:rPr>
      <w:tblPr/>
    </w:tblStylePr>
    <w:tblStylePr w:type="lastCol">
      <w:rPr>
        <w:b/>
        <w:bCs/>
      </w:rPr>
      <w:tbl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9F8AB9" w:themeColor="accent4" w:sz="8" w:space="0"/>
          <w:left w:val="single" w:color="9F8AB9" w:themeColor="accent4" w:sz="8" w:space="0"/>
          <w:bottom w:val="single" w:color="9F8AB9" w:themeColor="accent4" w:sz="8" w:space="0"/>
          <w:right w:val="single" w:color="9F8AB9" w:themeColor="accent4"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sz="6" w:space="0"/>
          <w:left w:val="single" w:color="9F8AB9" w:themeColor="accent4" w:sz="8" w:space="0"/>
          <w:bottom w:val="single" w:color="9F8AB9" w:themeColor="accent4" w:sz="8" w:space="0"/>
          <w:right w:val="single" w:color="9F8AB9" w:themeColor="accent4" w:sz="8" w:space="0"/>
          <w:insideH w:val="nil"/>
          <w:insideV w:val="nil"/>
        </w:tcBorders>
      </w:tcPr>
    </w:tblStylePr>
    <w:tblStylePr w:type="firstCol">
      <w:rPr>
        <w:b/>
        <w:bCs/>
      </w:rPr>
      <w:tblPr/>
    </w:tblStylePr>
    <w:tblStylePr w:type="lastCol">
      <w:rPr>
        <w:b/>
        <w:bCs/>
      </w:rPr>
      <w:tbl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78C0D4" w:themeColor="accent5" w:sz="8" w:space="0"/>
          <w:left w:val="single" w:color="78C0D4" w:themeColor="accent5" w:sz="8" w:space="0"/>
          <w:bottom w:val="single" w:color="78C0D4" w:themeColor="accent5" w:sz="8" w:space="0"/>
          <w:right w:val="single" w:color="78C0D4" w:themeColor="accent5"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sz="6" w:space="0"/>
          <w:left w:val="single" w:color="78C0D4" w:themeColor="accent5" w:sz="8" w:space="0"/>
          <w:bottom w:val="single" w:color="78C0D4" w:themeColor="accent5" w:sz="8" w:space="0"/>
          <w:right w:val="single" w:color="78C0D4" w:themeColor="accent5" w:sz="8" w:space="0"/>
          <w:insideH w:val="nil"/>
          <w:insideV w:val="nil"/>
        </w:tcBorders>
      </w:tcPr>
    </w:tblStylePr>
    <w:tblStylePr w:type="firstCol">
      <w:rPr>
        <w:b/>
        <w:bCs/>
      </w:rPr>
      <w:tblPr/>
    </w:tblStylePr>
    <w:tblStylePr w:type="lastCol">
      <w:rPr>
        <w:b/>
        <w:bCs/>
      </w:rPr>
      <w:tbl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F9B074" w:themeColor="accent6" w:sz="8" w:space="0"/>
          <w:left w:val="single" w:color="F9B074" w:themeColor="accent6" w:sz="8" w:space="0"/>
          <w:bottom w:val="single" w:color="F9B074" w:themeColor="accent6" w:sz="8" w:space="0"/>
          <w:right w:val="single" w:color="F9B074" w:themeColor="accent6"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sz="6" w:space="0"/>
          <w:left w:val="single" w:color="F9B074" w:themeColor="accent6" w:sz="8" w:space="0"/>
          <w:bottom w:val="single" w:color="F9B074" w:themeColor="accent6" w:sz="8" w:space="0"/>
          <w:right w:val="single" w:color="F9B074" w:themeColor="accent6" w:sz="8" w:space="0"/>
          <w:insideH w:val="nil"/>
          <w:insideV w:val="nil"/>
        </w:tcBorders>
      </w:tcPr>
    </w:tblStylePr>
    <w:tblStylePr w:type="firstCol">
      <w:rPr>
        <w:b/>
        <w:bCs/>
      </w:rPr>
      <w:tblPr/>
    </w:tblStylePr>
    <w:tblStylePr w:type="lastCol">
      <w:rPr>
        <w:b/>
        <w:bCs/>
      </w:rPr>
      <w:tbl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Georgia" w:hAnsi="Georgia" w:eastAsia="Georgia" w:cs="Georgia"/>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Georgia" w:hAnsi="Georgia" w:eastAsia="Georgia" w:cs="Georgia"/>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Georgia" w:hAnsi="Georgia" w:eastAsia="Georgia" w:cs="Georgia"/>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Georgia" w:hAnsi="Georgia" w:eastAsia="Georgia" w:cs="Georgia"/>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Georgia" w:hAnsi="Georgia" w:eastAsia="Georgia" w:cs="Georgia"/>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Georgia" w:hAnsi="Georgia" w:eastAsia="Georgia" w:cs="Georgia"/>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Georgia" w:hAnsi="Georgia" w:eastAsia="Georgia" w:cs="Georgia"/>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Georgia" w:hAnsi="Georgia" w:eastAsia="Georgia" w:cs="Georgia"/>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Georgia" w:hAnsi="Georgia" w:eastAsia="Georgia" w:cs="Georgia"/>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Georgia" w:hAnsi="Georgia" w:eastAsia="Georgia" w:cs="Georgia"/>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Georgia" w:hAnsi="Georgia" w:eastAsia="Georgia" w:cs="Georgia"/>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Georgia" w:hAnsi="Georgia" w:eastAsia="Georgia" w:cs="Georgia"/>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Georgia" w:hAnsi="Georgia" w:eastAsia="Georgia" w:cs="Georgia"/>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Georgia" w:hAnsi="Georgia" w:eastAsia="Georgia" w:cs="Georgia"/>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CellMar>
        <w:top w:w="0" w:type="dxa"/>
        <w:left w:w="108" w:type="dxa"/>
        <w:bottom w:w="0" w:type="dxa"/>
        <w:right w:w="108" w:type="dxa"/>
      </w:tblCellMar>
    </w:tblPr>
    <w:tcPr>
      <w:shd w:val="clear" w:color="auto" w:fill="C0C0C0" w:themeFill="text1" w:themeFillTint="3f"/>
    </w:tcPr>
    <w:tblStylePr w:type="firstRow">
      <w:rPr>
        <w:rFonts w:ascii="Georgia" w:hAnsi="Georgia" w:eastAsia="Georgia" w:cs="Georgia"/>
        <w:b/>
        <w:bCs/>
      </w:rPr>
      <w:tblPr/>
    </w:tblStylePr>
    <w:tblStylePr w:type="lastRow">
      <w:rPr>
        <w:b/>
        <w:bCs/>
      </w:rPr>
      <w:tblPr/>
      <w:tcPr>
        <w:tcBorders>
          <w:top w:val="single" w:color="404040" w:themeColor="text1" w:sz="18" w:space="0"/>
        </w:tcBorders>
      </w:tcPr>
    </w:tblStylePr>
    <w:tblStylePr w:type="firstCol">
      <w:rPr>
        <w:b/>
        <w:bCs/>
      </w:rPr>
      <w:tblPr/>
    </w:tblStylePr>
    <w:tblStylePr w:type="lastCol">
      <w:rPr>
        <w:b/>
        <w:bCs/>
      </w:rPr>
      <w:tbl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rFonts w:ascii="Georgia" w:hAnsi="Georgia" w:eastAsia="Georgia" w:cs="Georgia"/>
        <w:b/>
        <w:bCs/>
      </w:rPr>
      <w:tblPr/>
    </w:tblStylePr>
    <w:tblStylePr w:type="lastRow">
      <w:rPr>
        <w:b/>
        <w:bCs/>
      </w:rPr>
      <w:tblPr/>
      <w:tcPr>
        <w:tcBorders>
          <w:top w:val="single" w:color="7BA0CD" w:themeColor="accent1" w:sz="18" w:space="0"/>
        </w:tcBorders>
      </w:tcPr>
    </w:tblStylePr>
    <w:tblStylePr w:type="firstCol">
      <w:rPr>
        <w:b/>
        <w:bCs/>
      </w:rPr>
      <w:tblPr/>
    </w:tblStylePr>
    <w:tblStylePr w:type="lastCol">
      <w:rPr>
        <w:b/>
        <w:bCs/>
      </w:rPr>
      <w:tbl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2" w:themeFill="accent2" w:themeFillTint="3f"/>
    </w:tcPr>
    <w:tblStylePr w:type="firstRow">
      <w:rPr>
        <w:rFonts w:ascii="Georgia" w:hAnsi="Georgia" w:eastAsia="Georgia" w:cs="Georgia"/>
        <w:b/>
        <w:bCs/>
      </w:rPr>
      <w:tblPr/>
    </w:tblStylePr>
    <w:tblStylePr w:type="lastRow">
      <w:rPr>
        <w:b/>
        <w:bCs/>
      </w:rPr>
      <w:tblPr/>
      <w:tcPr>
        <w:tcBorders>
          <w:top w:val="single" w:color="CF7B79" w:themeColor="accent2" w:sz="18" w:space="0"/>
        </w:tcBorders>
      </w:tcPr>
    </w:tblStylePr>
    <w:tblStylePr w:type="firstCol">
      <w:rPr>
        <w:b/>
        <w:bCs/>
      </w:rPr>
      <w:tblPr/>
    </w:tblStylePr>
    <w:tblStylePr w:type="lastCol">
      <w:rPr>
        <w:b/>
        <w:bCs/>
      </w:rPr>
      <w:tbl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rFonts w:ascii="Georgia" w:hAnsi="Georgia" w:eastAsia="Georgia" w:cs="Georgia"/>
        <w:b/>
        <w:bCs/>
      </w:rPr>
      <w:tblPr/>
    </w:tblStylePr>
    <w:tblStylePr w:type="lastRow">
      <w:rPr>
        <w:b/>
        <w:bCs/>
      </w:rPr>
      <w:tblPr/>
      <w:tcPr>
        <w:tcBorders>
          <w:top w:val="single" w:color="B3CC82" w:themeColor="accent3" w:sz="18" w:space="0"/>
        </w:tcBorders>
      </w:tcPr>
    </w:tblStylePr>
    <w:tblStylePr w:type="firstCol">
      <w:rPr>
        <w:b/>
        <w:bCs/>
      </w:rPr>
      <w:tblPr/>
    </w:tblStylePr>
    <w:tblStylePr w:type="lastCol">
      <w:rPr>
        <w:b/>
        <w:bCs/>
      </w:rPr>
      <w:tbl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rFonts w:ascii="Georgia" w:hAnsi="Georgia" w:eastAsia="Georgia" w:cs="Georgia"/>
        <w:b/>
        <w:bCs/>
      </w:rPr>
      <w:tblPr/>
    </w:tblStylePr>
    <w:tblStylePr w:type="lastRow">
      <w:rPr>
        <w:b/>
        <w:bCs/>
      </w:rPr>
      <w:tblPr/>
      <w:tcPr>
        <w:tcBorders>
          <w:top w:val="single" w:color="9F8AB9" w:themeColor="accent4" w:sz="18" w:space="0"/>
        </w:tcBorders>
      </w:tcPr>
    </w:tblStylePr>
    <w:tblStylePr w:type="firstCol">
      <w:rPr>
        <w:b/>
        <w:bCs/>
      </w:rPr>
      <w:tblPr/>
    </w:tblStylePr>
    <w:tblStylePr w:type="lastCol">
      <w:rPr>
        <w:b/>
        <w:bCs/>
      </w:rPr>
      <w:tbl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1" w:themeFill="accent5" w:themeFillTint="3f"/>
    </w:tcPr>
    <w:tblStylePr w:type="firstRow">
      <w:rPr>
        <w:rFonts w:ascii="Georgia" w:hAnsi="Georgia" w:eastAsia="Georgia" w:cs="Georgia"/>
        <w:b/>
        <w:bCs/>
      </w:rPr>
      <w:tblPr/>
    </w:tblStylePr>
    <w:tblStylePr w:type="lastRow">
      <w:rPr>
        <w:b/>
        <w:bCs/>
      </w:rPr>
      <w:tblPr/>
      <w:tcPr>
        <w:tcBorders>
          <w:top w:val="single" w:color="78C0D4" w:themeColor="accent5" w:sz="18" w:space="0"/>
        </w:tcBorders>
      </w:tcPr>
    </w:tblStylePr>
    <w:tblStylePr w:type="firstCol">
      <w:rPr>
        <w:b/>
        <w:bCs/>
      </w:rPr>
      <w:tblPr/>
    </w:tblStylePr>
    <w:tblStylePr w:type="lastCol">
      <w:rPr>
        <w:b/>
        <w:bCs/>
      </w:rPr>
      <w:tbl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4D0" w:themeFill="accent6" w:themeFillTint="3f"/>
    </w:tcPr>
    <w:tblStylePr w:type="firstRow">
      <w:rPr>
        <w:rFonts w:ascii="Georgia" w:hAnsi="Georgia" w:eastAsia="Georgia" w:cs="Georgia"/>
        <w:b/>
        <w:bCs/>
      </w:rPr>
      <w:tblPr/>
    </w:tblStylePr>
    <w:tblStylePr w:type="lastRow">
      <w:rPr>
        <w:b/>
        <w:bCs/>
      </w:rPr>
      <w:tblPr/>
      <w:tcPr>
        <w:tcBorders>
          <w:top w:val="single" w:color="F9B074" w:themeColor="accent6" w:sz="18" w:space="0"/>
        </w:tcBorders>
      </w:tcPr>
    </w:tblStylePr>
    <w:tblStylePr w:type="firstCol">
      <w:rPr>
        <w:b/>
        <w:bCs/>
      </w:rPr>
      <w:tblPr/>
    </w:tblStylePr>
    <w:tblStylePr w:type="lastCol">
      <w:rPr>
        <w:b/>
        <w:bCs/>
      </w:rPr>
      <w:tbl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Georgia" w:hAnsi="Georgia" w:eastAsia="Georgia" w:cs="Georgia"/>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Georgia" w:hAnsi="Georgia" w:eastAsia="Georgia" w:cs="Georgia"/>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Georgia" w:hAnsi="Georgia" w:eastAsia="Georgia" w:cs="Georgia"/>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Georgia" w:hAnsi="Georgia" w:eastAsia="Georgia" w:cs="Georgia"/>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Georgia" w:hAnsi="Georgia" w:eastAsia="Georgia" w:cs="Georgia"/>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Georgia" w:hAnsi="Georgia" w:eastAsia="Georgia" w:cs="Georgia"/>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Georgia" w:hAnsi="Georgia" w:eastAsia="Georgia" w:cs="Georgia"/>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C0C0C0" w:themeFill="text1" w:themeFillTint="3f"/>
    </w:tcPr>
    <w:tblStylePr w:type="firstRow">
      <w:rPr>
        <w:rFonts w:ascii="Georgia" w:hAnsi="Georgia" w:eastAsia="Georgia" w:cs="Georgia"/>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rFonts w:ascii="Georgia" w:hAnsi="Georgia" w:eastAsia="Georgia" w:cs="Georgia"/>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2" w:themeFill="accent2" w:themeFillTint="3f"/>
    </w:tcPr>
    <w:tblStylePr w:type="firstRow">
      <w:rPr>
        <w:rFonts w:ascii="Georgia" w:hAnsi="Georgia" w:eastAsia="Georgia" w:cs="Georgia"/>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rFonts w:ascii="Georgia" w:hAnsi="Georgia" w:eastAsia="Georgia" w:cs="Georgia"/>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rFonts w:ascii="Georgia" w:hAnsi="Georgia" w:eastAsia="Georgia" w:cs="Georgia"/>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1" w:themeFill="accent5" w:themeFillTint="3f"/>
    </w:tcPr>
    <w:tblStylePr w:type="firstRow">
      <w:rPr>
        <w:rFonts w:ascii="Georgia" w:hAnsi="Georgia" w:eastAsia="Georgia" w:cs="Georgia"/>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4D0" w:themeFill="accent6" w:themeFillTint="3f"/>
    </w:tcPr>
    <w:tblStylePr w:type="firstRow">
      <w:rPr>
        <w:rFonts w:ascii="Georgia" w:hAnsi="Georgia" w:eastAsia="Georgia" w:cs="Georgia"/>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rFonts w:ascii="Georgia" w:hAnsi="Georgia" w:eastAsia="Georgia" w:cs="Georgia"/>
      <w:color w:val="ffffff" w:themeColor="background1"/>
    </w:rPr>
    <w:tblPr>
      <w:tblStyleRowBandSize w:val="1"/>
      <w:tblStyleColBandSize w:val="1"/>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rFonts w:ascii="Georgia" w:hAnsi="Georgia" w:eastAsia="Georgia" w:cs="Georgia"/>
      <w:color w:val="ffffff" w:themeColor="background1"/>
    </w:rPr>
    <w:tblPr>
      <w:tblStyleRowBandSize w:val="1"/>
      <w:tblStyleColBandSize w:val="1"/>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rFonts w:ascii="Georgia" w:hAnsi="Georgia" w:eastAsia="Georgia" w:cs="Georgia"/>
      <w:color w:val="ffffff" w:themeColor="background1"/>
    </w:rPr>
    <w:tblPr>
      <w:tblStyleRowBandSize w:val="1"/>
      <w:tblStyleColBandSize w:val="1"/>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rFonts w:ascii="Georgia" w:hAnsi="Georgia" w:eastAsia="Georgia" w:cs="Georgia"/>
      <w:color w:val="ffffff" w:themeColor="background1"/>
    </w:rPr>
    <w:tblPr>
      <w:tblStyleRowBandSize w:val="1"/>
      <w:tblStyleColBandSize w:val="1"/>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rFonts w:ascii="Georgia" w:hAnsi="Georgia" w:eastAsia="Georgia" w:cs="Georgia"/>
      <w:color w:val="ffffff" w:themeColor="background1"/>
    </w:rPr>
    <w:tblPr>
      <w:tblStyleRowBandSize w:val="1"/>
      <w:tblStyleColBandSize w:val="1"/>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rFonts w:ascii="Georgia" w:hAnsi="Georgia" w:eastAsia="Georgia" w:cs="Georgia"/>
      <w:color w:val="ffffff" w:themeColor="background1"/>
    </w:rPr>
    <w:tblPr>
      <w:tblStyleRowBandSize w:val="1"/>
      <w:tblStyleColBandSize w:val="1"/>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rFonts w:ascii="Georgia" w:hAnsi="Georgia" w:eastAsia="Georgia" w:cs="Georgia"/>
      <w:color w:val="ffffff" w:themeColor="background1"/>
    </w:rPr>
    <w:tblPr>
      <w:tblStyleRowBandSize w:val="1"/>
      <w:tblStyleColBandSize w:val="1"/>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rFonts w:ascii="Georgia" w:hAnsi="Georgia" w:eastAsia="Georgia" w:cs="Georgia"/>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Pr/>
    </w:tblStylePr>
    <w:tblStylePr w:type="nwCell">
      <w:rPr>
        <w:color w:val="000000" w:themeColor="text1"/>
      </w:rPr>
      <w:tblPr/>
    </w:tblStylePr>
  </w:style>
  <w:style w:type="table" w:styleId="ColorfulShading-Accent1">
    <w:name w:val="Colorful Shading Accent 1"/>
    <w:basedOn w:val="TableNormal"/>
    <w:uiPriority w:val="71"/>
    <w:rsid w:val="00cb0664"/>
    <w:pPr>
      <w:spacing w:after="0" w:line="240" w:lineRule="auto"/>
    </w:pPr>
    <w:rPr>
      <w:rFonts w:ascii="Georgia" w:hAnsi="Georgia" w:eastAsia="Georgia" w:cs="Georgia"/>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Pr/>
    </w:tblStylePr>
    <w:tblStylePr w:type="nwCell">
      <w:rPr>
        <w:color w:val="000000" w:themeColor="text1"/>
      </w:rPr>
      <w:tblPr/>
    </w:tblStylePr>
  </w:style>
  <w:style w:type="table" w:styleId="ColorfulShading-Accent2">
    <w:name w:val="Colorful Shading Accent 2"/>
    <w:basedOn w:val="TableNormal"/>
    <w:uiPriority w:val="71"/>
    <w:rsid w:val="00cb0664"/>
    <w:pPr>
      <w:spacing w:after="0" w:line="240" w:lineRule="auto"/>
    </w:pPr>
    <w:rPr>
      <w:rFonts w:ascii="Georgia" w:hAnsi="Georgia" w:eastAsia="Georgia" w:cs="Georgia"/>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Pr/>
    </w:tblStylePr>
    <w:tblStylePr w:type="nwCell">
      <w:rPr>
        <w:color w:val="000000" w:themeColor="text1"/>
      </w:rPr>
      <w:tblPr/>
    </w:tblStylePr>
  </w:style>
  <w:style w:type="table" w:styleId="ColorfulShading-Accent3">
    <w:name w:val="Colorful Shading Accent 3"/>
    <w:basedOn w:val="TableNormal"/>
    <w:uiPriority w:val="71"/>
    <w:rsid w:val="00cb0664"/>
    <w:pPr>
      <w:spacing w:after="0" w:line="240" w:lineRule="auto"/>
    </w:pPr>
    <w:rPr>
      <w:rFonts w:ascii="Georgia" w:hAnsi="Georgia" w:eastAsia="Georgia" w:cs="Georgia"/>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rFonts w:ascii="Georgia" w:hAnsi="Georgia" w:eastAsia="Georgia" w:cs="Georgia"/>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Pr/>
    </w:tblStylePr>
    <w:tblStylePr w:type="nwCell">
      <w:rPr>
        <w:color w:val="000000" w:themeColor="text1"/>
      </w:rPr>
      <w:tblPr/>
    </w:tblStylePr>
  </w:style>
  <w:style w:type="table" w:styleId="ColorfulShading-Accent5">
    <w:name w:val="Colorful Shading Accent 5"/>
    <w:basedOn w:val="TableNormal"/>
    <w:uiPriority w:val="71"/>
    <w:rsid w:val="00cb0664"/>
    <w:pPr>
      <w:spacing w:after="0" w:line="240" w:lineRule="auto"/>
    </w:pPr>
    <w:rPr>
      <w:rFonts w:ascii="Georgia" w:hAnsi="Georgia" w:eastAsia="Georgia" w:cs="Georgia"/>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Pr/>
    </w:tblStylePr>
    <w:tblStylePr w:type="nwCell">
      <w:rPr>
        <w:color w:val="000000" w:themeColor="text1"/>
      </w:rPr>
      <w:tblPr/>
    </w:tblStylePr>
  </w:style>
  <w:style w:type="table" w:styleId="ColorfulShading-Accent6">
    <w:name w:val="Colorful Shading Accent 6"/>
    <w:basedOn w:val="TableNormal"/>
    <w:uiPriority w:val="71"/>
    <w:rsid w:val="00cb0664"/>
    <w:pPr>
      <w:spacing w:after="0" w:line="240" w:lineRule="auto"/>
    </w:pPr>
    <w:rPr>
      <w:rFonts w:ascii="Georgia" w:hAnsi="Georgia" w:eastAsia="Georgia" w:cs="Georgia"/>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Pr/>
    </w:tblStylePr>
    <w:tblStylePr w:type="nwCell">
      <w:rPr>
        <w:color w:val="000000" w:themeColor="text1"/>
      </w:rPr>
      <w:tblPr/>
    </w:tblStylePr>
  </w:style>
  <w:style w:type="table" w:styleId="ColorfulList">
    <w:name w:val="Colorful List"/>
    <w:basedOn w:val="TableNormal"/>
    <w:uiPriority w:val="72"/>
    <w:rsid w:val="00cb0664"/>
    <w:pPr>
      <w:spacing w:after="0" w:line="240" w:lineRule="auto"/>
    </w:pPr>
    <w:rPr>
      <w:rFonts w:ascii="Georgia" w:hAnsi="Georgia" w:eastAsia="Georgia" w:cs="Georgia"/>
      <w:color w:val="000000" w:themeColor="text1"/>
    </w:rPr>
    <w:tblPr>
      <w:tblStyleRowBandSize w:val="1"/>
      <w:tblStyleColBandSize w:val="1"/>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rFonts w:ascii="Georgia" w:hAnsi="Georgia" w:eastAsia="Georgia" w:cs="Georgia"/>
      <w:color w:val="000000" w:themeColor="text1"/>
    </w:rPr>
    <w:tblPr>
      <w:tblStyleRowBandSize w:val="1"/>
      <w:tblStyleColBandSize w:val="1"/>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rFonts w:ascii="Georgia" w:hAnsi="Georgia" w:eastAsia="Georgia" w:cs="Georgia"/>
      <w:color w:val="000000" w:themeColor="text1"/>
    </w:rPr>
    <w:tblPr>
      <w:tblStyleRowBandSize w:val="1"/>
      <w:tblStyleColBandSize w:val="1"/>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rFonts w:ascii="Georgia" w:hAnsi="Georgia" w:eastAsia="Georgia" w:cs="Georgia"/>
      <w:color w:val="000000" w:themeColor="text1"/>
    </w:rPr>
    <w:tblPr>
      <w:tblStyleRowBandSize w:val="1"/>
      <w:tblStyleColBandSize w:val="1"/>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rFonts w:ascii="Georgia" w:hAnsi="Georgia" w:eastAsia="Georgia" w:cs="Georgia"/>
      <w:color w:val="000000" w:themeColor="text1"/>
    </w:rPr>
    <w:tblPr>
      <w:tblStyleRowBandSize w:val="1"/>
      <w:tblStyleColBandSize w:val="1"/>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rFonts w:ascii="Georgia" w:hAnsi="Georgia" w:eastAsia="Georgia" w:cs="Georgia"/>
      <w:color w:val="000000" w:themeColor="text1"/>
    </w:rPr>
    <w:tblPr>
      <w:tblStyleRowBandSize w:val="1"/>
      <w:tblStyleColBandSize w:val="1"/>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rFonts w:ascii="Georgia" w:hAnsi="Georgia" w:eastAsia="Georgia" w:cs="Georgia"/>
      <w:color w:val="000000" w:themeColor="text1"/>
    </w:rPr>
    <w:tblPr>
      <w:tblStyleRowBandSize w:val="1"/>
      <w:tblStyleColBandSize w:val="1"/>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rFonts w:ascii="Georgia" w:hAnsi="Georgia" w:eastAsia="Georgia" w:cs="Georgia"/>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rFonts w:ascii="Georgia" w:hAnsi="Georgia" w:eastAsia="Georgia" w:cs="Georgia"/>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rFonts w:ascii="Georgia" w:hAnsi="Georgia" w:eastAsia="Georgia" w:cs="Georgia"/>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rFonts w:ascii="Georgia" w:hAnsi="Georgia" w:eastAsia="Georgia" w:cs="Georgia"/>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rFonts w:ascii="Georgia" w:hAnsi="Georgia" w:eastAsia="Georgia" w:cs="Georgia"/>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rFonts w:ascii="Georgia" w:hAnsi="Georgia" w:eastAsia="Georgia" w:cs="Georgia"/>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rFonts w:ascii="Georgia" w:hAnsi="Georgia" w:eastAsia="Georgia" w:cs="Georgia"/>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Table">
    <w:name w:val="Table"/>
    <w:rPr>
      <w:rFonts w:ascii="Arial" w:hAnsi="Arial" w:eastAsia="Arial" w:cs="Arial"/>
      <w:sz w:val="22"/>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mzyphur.github.io/ai-readiness/instruments.html" TargetMode="External"/><Relationship Id="rId3" Type="http://schemas.openxmlformats.org/officeDocument/2006/relationships/hyperlink" Target="https://instats.org/publications/responsible-ai-in-academic-research" TargetMode="External"/><Relationship Id="rId4" Type="http://schemas.openxmlformats.org/officeDocument/2006/relationships/hyperlink" Target="https://instats.org/" TargetMode="External"/><Relationship Id="rId5" Type="http://schemas.openxmlformats.org/officeDocument/2006/relationships/image" Target="media/image1.png"/><Relationship Id="rId6" Type="http://schemas.openxmlformats.org/officeDocument/2006/relationships/hyperlink" Target="https://instats.org/" TargetMode="External"/><Relationship Id="rId7" Type="http://schemas.openxmlformats.org/officeDocument/2006/relationships/hyperlink" Target="mailto:support@instats.org" TargetMode="External"/><Relationship Id="rId8" Type="http://schemas.openxmlformats.org/officeDocument/2006/relationships/hyperlink" Target="https://instats.org/publications/the-institutional-ai-readiness-pack" TargetMode="External"/><Relationship Id="rId9" Type="http://schemas.openxmlformats.org/officeDocument/2006/relationships/hyperlink" Target="https://doi.org/10.61700/bv2nulyhht" TargetMode="External"/><Relationship Id="rId10" Type="http://schemas.openxmlformats.org/officeDocument/2006/relationships/hyperlink" Target="https://instats.org/publications/responsible-ai-in-academic-research" TargetMode="External"/><Relationship Id="rId11" Type="http://schemas.openxmlformats.org/officeDocument/2006/relationships/hyperlink" Target="https://doi.org/10.61700/t31oy23grr" TargetMode="External"/><Relationship Id="rId12" Type="http://schemas.openxmlformats.org/officeDocument/2006/relationships/hyperlink" Target="https://creativecommons.org/licenses/by/4.0/" TargetMode="External"/><Relationship Id="rId13" Type="http://schemas.openxmlformats.org/officeDocument/2006/relationships/header" Target="header1.xml"/><Relationship Id="rId14" Type="http://schemas.openxmlformats.org/officeDocument/2006/relationships/header" Target="header2.xml"/><Relationship Id="rId15" Type="http://schemas.openxmlformats.org/officeDocument/2006/relationships/header" Target="header3.xml"/><Relationship Id="rId16" Type="http://schemas.openxmlformats.org/officeDocument/2006/relationships/footer" Target="footer1.xml"/><Relationship Id="rId17" Type="http://schemas.openxmlformats.org/officeDocument/2006/relationships/footer" Target="footer2.xml"/><Relationship Id="rId18" Type="http://schemas.openxmlformats.org/officeDocument/2006/relationships/footer" Target="footer3.xml"/><Relationship Id="rId19" Type="http://schemas.openxmlformats.org/officeDocument/2006/relationships/numbering" Target="numbering.xm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
<Relationship Id="rId23" Type="http://schemas.openxmlformats.org/officeDocument/2006/relationships/image" Target="media/image2.png"/><Relationship Id="rId24" Type="http://schemas.openxmlformats.org/officeDocument/2006/relationships/hyperlink" Target="https://instats.org" TargetMode="External"/></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
        <a:cs typeface=""/>
      </a:majorFont>
      <a:minorFont>
        <a:latin typeface="Georg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LibreOffice/26.2.3.2$MacOSX_AARCH64 LibreOffice_project/70e089b17412e4cb7773e41413306b17a2328c34</Application>
  <AppVersion>15.0000</AppVersion>
  <Pages>1</Pages>
  <Words>0</Words>
  <Characters>0</Characters>
  <CharactersWithSpaces>0</CharactersWithSpaces>
  <Paragraphs>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2026-08-22T01:40:08Z</dcterms:created>
  <dc:creator/>
  <dc:description/>
  <dc:language>en-AU</dc:language>
  <cp:lastModifiedBy/>
  <dcterms:modified xsi:type="dcterms:W3CDTF">2026-08-22T01:40:08Z</dcterms:modified>
  <cp:revision>0</cp:revision>
  <dc:subject>Institutional AI readiness self-assessment and implementation toolkit</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ble-of-contents">
    <vt:lpwstr>False</vt:lpwstr>
  </property>
  <property fmtid="{D5CDD505-2E9C-101B-9397-08002B2CF9AE}" pid="3" name="toc">
    <vt:lpwstr>False</vt:lpwstr>
  </property>
</Properties>
</file>